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5BE0DC0F" w:rsidR="000D1985" w:rsidRDefault="000D1985" w:rsidP="009923F8">
      <w:pPr>
        <w:pStyle w:val="Encabezado"/>
        <w:jc w:val="center"/>
        <w:rPr>
          <w:b/>
        </w:rPr>
      </w:pPr>
    </w:p>
    <w:p w14:paraId="04B5B262" w14:textId="77777777" w:rsidR="009923F8" w:rsidRPr="009923F8" w:rsidRDefault="009923F8" w:rsidP="009923F8">
      <w:pPr>
        <w:pStyle w:val="Encabezado"/>
        <w:jc w:val="center"/>
        <w:rPr>
          <w:b/>
        </w:rPr>
      </w:pPr>
    </w:p>
    <w:p w14:paraId="44E1104D" w14:textId="77777777" w:rsidR="002E19E4" w:rsidRDefault="00E5100E" w:rsidP="002E19E4">
      <w:pPr>
        <w:spacing w:line="276" w:lineRule="auto"/>
        <w:jc w:val="center"/>
        <w:rPr>
          <w:rFonts w:ascii="Arial" w:hAnsi="Arial" w:cs="Arial"/>
          <w:b/>
          <w:sz w:val="24"/>
          <w:szCs w:val="24"/>
        </w:rPr>
      </w:pPr>
      <w:r w:rsidRPr="002E19E4">
        <w:rPr>
          <w:rFonts w:ascii="Arial" w:hAnsi="Arial" w:cs="Arial"/>
          <w:b/>
          <w:color w:val="000000"/>
          <w:sz w:val="24"/>
          <w:szCs w:val="24"/>
        </w:rPr>
        <w:t xml:space="preserve">TEXTO APROBADO EN LA COMISIÓN PRIMERA CONSTITUCIONAL PERMANENTE DE LA HONORABLE CÁMARA DE REPRESENTANTES EN PRIMER DEBATE </w:t>
      </w:r>
      <w:r w:rsidRPr="002E19E4">
        <w:rPr>
          <w:rFonts w:ascii="Arial" w:eastAsia="Bookman Old Style" w:hAnsi="Arial" w:cs="Arial"/>
          <w:b/>
          <w:sz w:val="24"/>
          <w:szCs w:val="24"/>
        </w:rPr>
        <w:t xml:space="preserve">AL PROYECTO </w:t>
      </w:r>
      <w:r w:rsidRPr="002E19E4">
        <w:rPr>
          <w:rFonts w:ascii="Arial" w:eastAsia="Montserrat" w:hAnsi="Arial" w:cs="Arial"/>
          <w:b/>
          <w:sz w:val="24"/>
          <w:szCs w:val="24"/>
          <w:lang w:val="it-IT" w:eastAsia="es-CO"/>
        </w:rPr>
        <w:t xml:space="preserve">DE LEY </w:t>
      </w:r>
      <w:r w:rsidR="002E19E4">
        <w:rPr>
          <w:rFonts w:ascii="Arial" w:eastAsia="Montserrat" w:hAnsi="Arial" w:cs="Arial"/>
          <w:b/>
          <w:sz w:val="24"/>
          <w:szCs w:val="24"/>
          <w:lang w:val="it-IT" w:eastAsia="es-CO"/>
        </w:rPr>
        <w:t xml:space="preserve">No. </w:t>
      </w:r>
      <w:r w:rsidR="002E19E4" w:rsidRPr="002E19E4">
        <w:rPr>
          <w:rFonts w:ascii="Arial" w:hAnsi="Arial" w:cs="Arial"/>
          <w:b/>
          <w:sz w:val="24"/>
          <w:szCs w:val="24"/>
        </w:rPr>
        <w:t>205 DE 2022 CÁMARA ACUMULADO CON EL PROYECTO DE LEY No. 282 DE</w:t>
      </w:r>
      <w:r w:rsidR="002E19E4" w:rsidRPr="002E19E4">
        <w:rPr>
          <w:rFonts w:ascii="Arial" w:hAnsi="Arial" w:cs="Arial"/>
          <w:b/>
          <w:spacing w:val="-4"/>
          <w:sz w:val="24"/>
          <w:szCs w:val="24"/>
        </w:rPr>
        <w:t xml:space="preserve"> </w:t>
      </w:r>
      <w:r w:rsidR="002E19E4" w:rsidRPr="002E19E4">
        <w:rPr>
          <w:rFonts w:ascii="Arial" w:hAnsi="Arial" w:cs="Arial"/>
          <w:b/>
          <w:sz w:val="24"/>
          <w:szCs w:val="24"/>
        </w:rPr>
        <w:t xml:space="preserve">2022 CÁMARA </w:t>
      </w:r>
    </w:p>
    <w:p w14:paraId="24902042" w14:textId="093B463F" w:rsidR="002E19E4" w:rsidRPr="002E19E4" w:rsidRDefault="002E19E4" w:rsidP="002E19E4">
      <w:pPr>
        <w:spacing w:line="276" w:lineRule="auto"/>
        <w:jc w:val="center"/>
        <w:rPr>
          <w:rFonts w:ascii="Arial" w:hAnsi="Arial" w:cs="Arial"/>
          <w:b/>
          <w:sz w:val="24"/>
          <w:szCs w:val="24"/>
        </w:rPr>
      </w:pPr>
      <w:r w:rsidRPr="002E19E4">
        <w:rPr>
          <w:rFonts w:ascii="Arial" w:hAnsi="Arial" w:cs="Arial"/>
          <w:b/>
          <w:sz w:val="24"/>
          <w:szCs w:val="24"/>
        </w:rPr>
        <w:t>“POR MEDIO DE LA CUAL SE REFORMA LA LEY 675 DE 2001, REFERENTE AL RÉGIMEN DE PROPIEDAD HORIZONTAL EN COLOMBIA Y SE DICTAN OTRAS DISPOSICIONES”.</w:t>
      </w:r>
    </w:p>
    <w:p w14:paraId="483242D7" w14:textId="77777777" w:rsidR="002E19E4" w:rsidRPr="002E19E4" w:rsidRDefault="002E19E4" w:rsidP="002E19E4">
      <w:pPr>
        <w:spacing w:after="0" w:line="240" w:lineRule="auto"/>
        <w:jc w:val="center"/>
        <w:rPr>
          <w:rFonts w:ascii="Arial" w:hAnsi="Arial" w:cs="Arial"/>
          <w:b/>
          <w:bCs/>
          <w:sz w:val="24"/>
          <w:szCs w:val="24"/>
          <w:shd w:val="clear" w:color="auto" w:fill="FFFFFF"/>
        </w:rPr>
      </w:pPr>
    </w:p>
    <w:p w14:paraId="358D9A55" w14:textId="6494D08B" w:rsidR="002E19E4" w:rsidRDefault="002E19E4" w:rsidP="002E19E4">
      <w:pPr>
        <w:spacing w:after="0" w:line="240" w:lineRule="auto"/>
        <w:jc w:val="center"/>
        <w:rPr>
          <w:rFonts w:ascii="Arial" w:hAnsi="Arial" w:cs="Arial"/>
          <w:b/>
          <w:bCs/>
          <w:sz w:val="24"/>
          <w:szCs w:val="24"/>
          <w:shd w:val="clear" w:color="auto" w:fill="FFFFFF"/>
        </w:rPr>
      </w:pPr>
      <w:r>
        <w:rPr>
          <w:rFonts w:ascii="Arial" w:hAnsi="Arial" w:cs="Arial"/>
          <w:b/>
          <w:bCs/>
          <w:sz w:val="24"/>
          <w:szCs w:val="24"/>
          <w:shd w:val="clear" w:color="auto" w:fill="FFFFFF"/>
        </w:rPr>
        <w:t>EL CONGRESO DE COLOMBIA</w:t>
      </w:r>
    </w:p>
    <w:p w14:paraId="4202A46C" w14:textId="3C11406F" w:rsidR="002E19E4" w:rsidRDefault="002E19E4" w:rsidP="002E19E4">
      <w:pPr>
        <w:tabs>
          <w:tab w:val="left" w:pos="1605"/>
          <w:tab w:val="center" w:pos="4677"/>
        </w:tabs>
        <w:spacing w:after="0" w:line="240" w:lineRule="auto"/>
        <w:jc w:val="center"/>
        <w:rPr>
          <w:rFonts w:ascii="Arial" w:hAnsi="Arial" w:cs="Arial"/>
          <w:b/>
          <w:bCs/>
          <w:sz w:val="24"/>
          <w:szCs w:val="24"/>
          <w:shd w:val="clear" w:color="auto" w:fill="FFFFFF"/>
        </w:rPr>
      </w:pPr>
    </w:p>
    <w:p w14:paraId="4FA59A30" w14:textId="77777777" w:rsidR="009923F8" w:rsidRDefault="009923F8" w:rsidP="002E19E4">
      <w:pPr>
        <w:tabs>
          <w:tab w:val="left" w:pos="1605"/>
          <w:tab w:val="center" w:pos="4677"/>
        </w:tabs>
        <w:spacing w:after="0" w:line="240" w:lineRule="auto"/>
        <w:jc w:val="center"/>
        <w:rPr>
          <w:rFonts w:ascii="Arial" w:hAnsi="Arial" w:cs="Arial"/>
          <w:b/>
          <w:bCs/>
          <w:sz w:val="24"/>
          <w:szCs w:val="24"/>
          <w:shd w:val="clear" w:color="auto" w:fill="FFFFFF"/>
        </w:rPr>
      </w:pPr>
    </w:p>
    <w:p w14:paraId="14668FB0" w14:textId="1F190273" w:rsidR="002E19E4" w:rsidRDefault="002E19E4" w:rsidP="002E19E4">
      <w:pPr>
        <w:tabs>
          <w:tab w:val="left" w:pos="1605"/>
          <w:tab w:val="center" w:pos="4677"/>
        </w:tabs>
        <w:spacing w:after="0" w:line="240" w:lineRule="auto"/>
        <w:jc w:val="center"/>
        <w:rPr>
          <w:rFonts w:ascii="Arial" w:hAnsi="Arial" w:cs="Arial"/>
          <w:b/>
          <w:bCs/>
          <w:sz w:val="24"/>
          <w:szCs w:val="24"/>
          <w:shd w:val="clear" w:color="auto" w:fill="FFFFFF"/>
        </w:rPr>
      </w:pPr>
      <w:r>
        <w:rPr>
          <w:rFonts w:ascii="Arial" w:hAnsi="Arial" w:cs="Arial"/>
          <w:b/>
          <w:bCs/>
          <w:sz w:val="24"/>
          <w:szCs w:val="24"/>
          <w:shd w:val="clear" w:color="auto" w:fill="FFFFFF"/>
        </w:rPr>
        <w:t>DECRETA</w:t>
      </w:r>
      <w:r w:rsidR="009923F8">
        <w:rPr>
          <w:rFonts w:ascii="Arial" w:hAnsi="Arial" w:cs="Arial"/>
          <w:b/>
          <w:bCs/>
          <w:sz w:val="24"/>
          <w:szCs w:val="24"/>
          <w:shd w:val="clear" w:color="auto" w:fill="FFFFFF"/>
        </w:rPr>
        <w:t>:</w:t>
      </w:r>
    </w:p>
    <w:p w14:paraId="1D7FB58B" w14:textId="77777777" w:rsidR="009923F8" w:rsidRPr="002843F2" w:rsidRDefault="009923F8" w:rsidP="002E19E4">
      <w:pPr>
        <w:spacing w:after="0" w:line="240" w:lineRule="auto"/>
        <w:jc w:val="center"/>
        <w:rPr>
          <w:rFonts w:ascii="Arial" w:eastAsia="Arial" w:hAnsi="Arial" w:cs="Arial"/>
          <w:b/>
          <w:sz w:val="24"/>
          <w:szCs w:val="24"/>
          <w:highlight w:val="white"/>
        </w:rPr>
      </w:pPr>
    </w:p>
    <w:p w14:paraId="3622352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95ECA0D"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 Objeto.</w:t>
      </w:r>
      <w:r w:rsidRPr="002843F2">
        <w:rPr>
          <w:rFonts w:ascii="Arial" w:eastAsia="Arial" w:hAnsi="Arial" w:cs="Arial"/>
          <w:sz w:val="24"/>
          <w:szCs w:val="24"/>
        </w:rPr>
        <w:t xml:space="preserve"> La presente Ley tiene por objeto reformar la Ley 675 de 2001, referente al régimen de propiedad horizontal en Colombia.</w:t>
      </w:r>
    </w:p>
    <w:p w14:paraId="247A323C" w14:textId="77777777" w:rsidR="002E19E4" w:rsidRPr="002843F2" w:rsidRDefault="002E19E4" w:rsidP="002E19E4">
      <w:pPr>
        <w:tabs>
          <w:tab w:val="left" w:pos="3686"/>
        </w:tabs>
        <w:spacing w:line="240" w:lineRule="auto"/>
        <w:jc w:val="both"/>
        <w:rPr>
          <w:rFonts w:ascii="Arial" w:eastAsia="Arial" w:hAnsi="Arial" w:cs="Arial"/>
          <w:sz w:val="24"/>
          <w:szCs w:val="24"/>
        </w:rPr>
      </w:pPr>
    </w:p>
    <w:p w14:paraId="7EE5F5A5"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w:t>
      </w:r>
      <w:r w:rsidRPr="002843F2">
        <w:rPr>
          <w:rFonts w:ascii="Arial" w:eastAsia="Arial" w:hAnsi="Arial" w:cs="Arial"/>
          <w:sz w:val="24"/>
          <w:szCs w:val="24"/>
        </w:rPr>
        <w:t xml:space="preserve"> Modifíquese el Artículo 1° de la Ley 675 de 2.001, el cual, quedará así:</w:t>
      </w:r>
    </w:p>
    <w:p w14:paraId="570DB09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33BFE80"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Artículo 1°. Objeto</w:t>
      </w:r>
      <w:r w:rsidRPr="002843F2">
        <w:rPr>
          <w:rFonts w:ascii="Arial" w:eastAsia="Arial" w:hAnsi="Arial" w:cs="Arial"/>
          <w:sz w:val="24"/>
          <w:szCs w:val="24"/>
        </w:rPr>
        <w:t xml:space="preserve">. La presente Ley regula la forma especial de dominio denominada propiedad horizontal, en la que concurren derechos de propiedad exclusiva sobre bienes privados y derechos de copropiedad y proindiviso sobre el terreno y los demás bienes y áreas comunes, con el </w:t>
      </w:r>
      <w:proofErr w:type="spellStart"/>
      <w:r w:rsidRPr="002843F2">
        <w:rPr>
          <w:rFonts w:ascii="Arial" w:eastAsia="Arial" w:hAnsi="Arial" w:cs="Arial"/>
          <w:sz w:val="24"/>
          <w:szCs w:val="24"/>
        </w:rPr>
        <w:t>ﬁn</w:t>
      </w:r>
      <w:proofErr w:type="spellEnd"/>
      <w:r w:rsidRPr="002843F2">
        <w:rPr>
          <w:rFonts w:ascii="Arial" w:eastAsia="Arial" w:hAnsi="Arial" w:cs="Arial"/>
          <w:sz w:val="24"/>
          <w:szCs w:val="24"/>
        </w:rPr>
        <w:t xml:space="preserve"> de preservar y garantizar la seguridad y la convivencia </w:t>
      </w:r>
      <w:proofErr w:type="spellStart"/>
      <w:r w:rsidRPr="002843F2">
        <w:rPr>
          <w:rFonts w:ascii="Arial" w:eastAsia="Arial" w:hAnsi="Arial" w:cs="Arial"/>
          <w:sz w:val="24"/>
          <w:szCs w:val="24"/>
        </w:rPr>
        <w:t>pacíﬁca</w:t>
      </w:r>
      <w:proofErr w:type="spellEnd"/>
      <w:r w:rsidRPr="002843F2">
        <w:rPr>
          <w:rFonts w:ascii="Arial" w:eastAsia="Arial" w:hAnsi="Arial" w:cs="Arial"/>
          <w:sz w:val="24"/>
          <w:szCs w:val="24"/>
        </w:rPr>
        <w:t xml:space="preserve"> entre los actores de la propiedad horizontal y, así como, garantizar la función social y ecológica de la propiedad. </w:t>
      </w:r>
    </w:p>
    <w:p w14:paraId="6F9F3B14"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4AAA7284"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Al régimen de propiedad horizontal podrán ser sometidos los inmuebles o predios resultantes de las diferentes actuaciones urbanísticas, localizados en suelo urbano o rural del respectivo municipio o distrito del territorio colombiano.</w:t>
      </w:r>
    </w:p>
    <w:p w14:paraId="07F7FC5C"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F99170F"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w:t>
      </w:r>
      <w:r w:rsidRPr="002843F2">
        <w:rPr>
          <w:rFonts w:ascii="Arial" w:eastAsia="Arial" w:hAnsi="Arial" w:cs="Arial"/>
          <w:sz w:val="24"/>
          <w:szCs w:val="24"/>
        </w:rPr>
        <w:t xml:space="preserve"> Modifíquese el Artículo 2 de la Ley 675 de 2001, el cual quedará así:</w:t>
      </w:r>
    </w:p>
    <w:p w14:paraId="3F1678C9"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C2484CB"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Artículo 2°. Principios.</w:t>
      </w:r>
      <w:r w:rsidRPr="002843F2">
        <w:rPr>
          <w:rFonts w:ascii="Arial" w:eastAsia="Arial" w:hAnsi="Arial" w:cs="Arial"/>
          <w:sz w:val="24"/>
          <w:szCs w:val="24"/>
        </w:rPr>
        <w:t xml:space="preserve"> Son principios orientadores de la presente Ley:</w:t>
      </w:r>
    </w:p>
    <w:p w14:paraId="00074E6B"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33581D36" w14:textId="77777777" w:rsidR="002E19E4" w:rsidRPr="002843F2" w:rsidRDefault="002E19E4" w:rsidP="000E36E0">
      <w:pPr>
        <w:numPr>
          <w:ilvl w:val="0"/>
          <w:numId w:val="5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Función social y ecológica de la propiedad. La propiedad horizontal como forma especial del derecho de dominio deberá respetar la función social y ecológica de la propiedad y, por ende, deberá ajustarse a lo dispuesto en la normatividad urbanística vigente.</w:t>
      </w:r>
    </w:p>
    <w:p w14:paraId="56657F41" w14:textId="77777777" w:rsidR="002E19E4" w:rsidRPr="002843F2" w:rsidRDefault="002E19E4" w:rsidP="000E36E0">
      <w:pPr>
        <w:numPr>
          <w:ilvl w:val="0"/>
          <w:numId w:val="5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Convivencia pacífica y solidaridad social. Los reglamentos de propiedad horizontal deberán propender al establecimiento de relaciones pacíficas de cooperación y solidaridad social entre los copropietarios o tenedores. Así </w:t>
      </w:r>
      <w:r w:rsidRPr="002843F2">
        <w:rPr>
          <w:rFonts w:ascii="Arial" w:eastAsia="Arial" w:hAnsi="Arial" w:cs="Arial"/>
          <w:color w:val="000000"/>
          <w:sz w:val="24"/>
          <w:szCs w:val="24"/>
        </w:rPr>
        <w:lastRenderedPageBreak/>
        <w:t>mismo, contendrán estipulaciones democráticas, expresas y determinadas sobre los deberes y obligaciones de los actores de la propiedad horizontal.</w:t>
      </w:r>
    </w:p>
    <w:p w14:paraId="0ECFB18A" w14:textId="77777777" w:rsidR="002E19E4" w:rsidRPr="002843F2" w:rsidRDefault="002E19E4" w:rsidP="000E36E0">
      <w:pPr>
        <w:numPr>
          <w:ilvl w:val="0"/>
          <w:numId w:val="5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Respeto de la dignidad humana. El respeto de la dignidad humana debe inspirar las actuaciones de los integrantes de los órganos de administración de la copropiedad, así como las de los copropietarios para el ejercicio de los derechos y obligaciones derivados de la ley.</w:t>
      </w:r>
    </w:p>
    <w:p w14:paraId="50DAB534" w14:textId="77777777" w:rsidR="002E19E4" w:rsidRPr="002843F2" w:rsidRDefault="002E19E4" w:rsidP="000E36E0">
      <w:pPr>
        <w:numPr>
          <w:ilvl w:val="0"/>
          <w:numId w:val="5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Libre iniciativa empresarial y privada dentro de los límites del bien común. Derecho que tiene todo ciudadano de destinar bienes legales de cualquier tipo, principalmente de capital, para la realización de actividades económicas encaminadas a la producción e intercambio de bienes y servicios con miras a obtener un </w:t>
      </w:r>
      <w:proofErr w:type="spellStart"/>
      <w:r w:rsidRPr="002843F2">
        <w:rPr>
          <w:rFonts w:ascii="Arial" w:eastAsia="Arial" w:hAnsi="Arial" w:cs="Arial"/>
          <w:color w:val="000000"/>
          <w:sz w:val="24"/>
          <w:szCs w:val="24"/>
        </w:rPr>
        <w:t>beneﬁcio</w:t>
      </w:r>
      <w:proofErr w:type="spellEnd"/>
      <w:r w:rsidRPr="002843F2">
        <w:rPr>
          <w:rFonts w:ascii="Arial" w:eastAsia="Arial" w:hAnsi="Arial" w:cs="Arial"/>
          <w:color w:val="000000"/>
          <w:sz w:val="24"/>
          <w:szCs w:val="24"/>
        </w:rPr>
        <w:t xml:space="preserve"> económico o utilidad.</w:t>
      </w:r>
    </w:p>
    <w:p w14:paraId="71665CF6" w14:textId="77777777" w:rsidR="002E19E4" w:rsidRPr="002843F2" w:rsidRDefault="002E19E4" w:rsidP="000E36E0">
      <w:pPr>
        <w:numPr>
          <w:ilvl w:val="0"/>
          <w:numId w:val="5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Debido Proceso. Dentro de los procedimientos sancionatorios que se adelanten al interior de las copropiedades, se tendrá como finalidad proteger y respetar el principio al debido proceso consagrado en el artículo 29 de la Constitución Política, así como garantizar el derecho de defensa y contradicción.</w:t>
      </w:r>
    </w:p>
    <w:p w14:paraId="7F0937BC" w14:textId="77777777" w:rsidR="002E19E4" w:rsidRPr="002843F2" w:rsidRDefault="002E19E4" w:rsidP="000E36E0">
      <w:pPr>
        <w:numPr>
          <w:ilvl w:val="0"/>
          <w:numId w:val="5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Accesibilidad. Las propiedades horizontales deben ser accesibles para las personas con discapacidad. Para ello, las propiedades horizontales deben adecuar su infraestructura y reglamentos de manera que estos no comporten barreras físicas, comunicativas o actitudinales que imposibiliten o dificulten el ejercicio y goce efectivo de derechos por parte de la población con discapacidad.</w:t>
      </w:r>
    </w:p>
    <w:p w14:paraId="1FAC1691"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7EA887A"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B8274F4"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4°.</w:t>
      </w:r>
      <w:r w:rsidRPr="002843F2">
        <w:rPr>
          <w:rFonts w:ascii="Arial" w:eastAsia="Arial" w:hAnsi="Arial" w:cs="Arial"/>
          <w:sz w:val="24"/>
          <w:szCs w:val="24"/>
        </w:rPr>
        <w:t xml:space="preserve"> Modifíquese el Artículo 3 de la Ley 675 de 2001, el cual quedará así:</w:t>
      </w:r>
    </w:p>
    <w:p w14:paraId="06CD9D2B"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9133D16"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 Definiciones</w:t>
      </w:r>
      <w:r w:rsidRPr="002843F2">
        <w:rPr>
          <w:rFonts w:ascii="Arial" w:eastAsia="Arial" w:hAnsi="Arial" w:cs="Arial"/>
          <w:sz w:val="24"/>
          <w:szCs w:val="24"/>
        </w:rPr>
        <w:t>. Para los efectos de la presente Ley se establecen las siguientes definiciones:</w:t>
      </w:r>
    </w:p>
    <w:p w14:paraId="121B2CE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795EDA3"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Administrador de propiedad horizontal</w:t>
      </w:r>
      <w:r w:rsidRPr="002843F2">
        <w:rPr>
          <w:rFonts w:ascii="Arial" w:eastAsia="Arial" w:hAnsi="Arial" w:cs="Arial"/>
          <w:sz w:val="24"/>
          <w:szCs w:val="24"/>
        </w:rPr>
        <w:t>. Es la persona natural o jurídica debidamente capacitada, inscrita e identificada en el Registro Único de Administradores de Propiedad Horizontal, con manejo y liderazgo de comunidades, solución de conflictos, conocimiento y aplicación de la legislación del régimen de propiedad horizontal; designada por la asamblea general de copropietarios o el consejo de administración, para cumplir y ejecutar las labores de administración, ejercer la representación legal, asumir y cumplir las funciones y obligaciones descritas en la presente Ley, en el reglamento de copropiedad y en las demás normas aplicables.</w:t>
      </w:r>
    </w:p>
    <w:p w14:paraId="0DCA52A5"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25D141E9"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Área privada construida.</w:t>
      </w:r>
      <w:r w:rsidRPr="002843F2">
        <w:rPr>
          <w:rFonts w:ascii="Arial" w:eastAsia="Arial" w:hAnsi="Arial" w:cs="Arial"/>
          <w:sz w:val="24"/>
          <w:szCs w:val="24"/>
        </w:rPr>
        <w:t xml:space="preserve"> Corresponde al área de dominio particular ocupada por construcciones bajo cubierta, resultante de haberle sido descontada el área privada libre y las áreas comunes de conformidad con las normas legales.</w:t>
      </w:r>
    </w:p>
    <w:p w14:paraId="67DA436F"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3B59F794"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lastRenderedPageBreak/>
        <w:t>Área privada libre.</w:t>
      </w:r>
      <w:r w:rsidRPr="002843F2">
        <w:rPr>
          <w:rFonts w:ascii="Arial" w:eastAsia="Arial" w:hAnsi="Arial" w:cs="Arial"/>
          <w:sz w:val="24"/>
          <w:szCs w:val="24"/>
        </w:rPr>
        <w:t xml:space="preserve"> Corresponde al área de dominio particular que no cuenta con áreas ocupadas por construcciones bajo cubierta, y que se encuentra totalmente deslindada de las áreas comunes, de conformidad con las normas legales.</w:t>
      </w:r>
    </w:p>
    <w:p w14:paraId="057BC51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84461B6"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Bienes comunes.</w:t>
      </w:r>
      <w:r w:rsidRPr="002843F2">
        <w:rPr>
          <w:rFonts w:ascii="Arial" w:eastAsia="Arial" w:hAnsi="Arial" w:cs="Arial"/>
          <w:sz w:val="24"/>
          <w:szCs w:val="24"/>
        </w:rPr>
        <w:t xml:space="preserve"> Bienes pertenecientes en común y proindiviso a todos los propietarios de bienes privados o de dominio particular, que por su naturaleza o destinación permiten o facilitan la existencia, estabilidad, funcionamiento, conservación, seguridad, uso, goce o explotación de los bienes de dominio particular.</w:t>
      </w:r>
    </w:p>
    <w:p w14:paraId="72656DF6"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38387778"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Bienes comunes esenciales.</w:t>
      </w:r>
      <w:r w:rsidRPr="002843F2">
        <w:rPr>
          <w:rFonts w:ascii="Arial" w:eastAsia="Arial" w:hAnsi="Arial" w:cs="Arial"/>
          <w:sz w:val="24"/>
          <w:szCs w:val="24"/>
        </w:rPr>
        <w:t xml:space="preserve">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estructura, las circulaciones indispensables 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 y animales de compañía, si tal sistema existe.</w:t>
      </w:r>
    </w:p>
    <w:p w14:paraId="694C0F3B"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25F14611"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Coeficientes de copropiedad. Índices que establecen la participación porcentual de cada uno de los propietarios de bienes privados o de dominio particular en los bienes comunes del edificio, conjunto o agrupación sometido al régimen de propiedad horizontal. Los coeficientes definen además su porcentaje de participación en la asamblea de propietarios y la proporción con que cada uno contribuirá en las expensas comunes necesarias de la propiedad horizontal, sin perjuicio de los que se determinen mediante módulos de contribución, en las propiedades horizontales de uso residencial, comercial, industrial, de servicios o mixto.</w:t>
      </w:r>
    </w:p>
    <w:p w14:paraId="3419C8C7"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C384286" w14:textId="77777777" w:rsidR="002E19E4" w:rsidRPr="002843F2" w:rsidRDefault="002E19E4" w:rsidP="002E19E4">
      <w:pPr>
        <w:spacing w:after="0" w:line="240" w:lineRule="auto"/>
        <w:ind w:left="284"/>
        <w:jc w:val="both"/>
        <w:rPr>
          <w:rFonts w:ascii="Arial" w:eastAsia="Arial" w:hAnsi="Arial" w:cs="Arial"/>
          <w:b/>
          <w:sz w:val="24"/>
          <w:szCs w:val="24"/>
          <w:u w:val="single"/>
        </w:rPr>
      </w:pPr>
      <w:r w:rsidRPr="002843F2">
        <w:rPr>
          <w:rFonts w:ascii="Arial" w:eastAsia="Arial" w:hAnsi="Arial" w:cs="Arial"/>
          <w:b/>
          <w:sz w:val="24"/>
          <w:szCs w:val="24"/>
        </w:rPr>
        <w:t xml:space="preserve">Conjunto. </w:t>
      </w:r>
      <w:r w:rsidRPr="002843F2">
        <w:rPr>
          <w:rFonts w:ascii="Arial" w:eastAsia="Arial" w:hAnsi="Arial" w:cs="Arial"/>
          <w:sz w:val="24"/>
          <w:szCs w:val="24"/>
        </w:rPr>
        <w:t xml:space="preserve">Desarrollo inmobiliario conformado por varios edificios o casas levantados sobre uno o varios lotes de terreno, que comparten áreas y servicios de uso y utilidad general, como vías internas, estacionamientos, zonas verdes, muros de cerramiento, porterías, entre otros. Tales áreas de uso y utilidad general pueden tener la naturaleza de bienes comunes de la propiedad horizontal, </w:t>
      </w:r>
    </w:p>
    <w:p w14:paraId="755CEC69" w14:textId="77777777" w:rsidR="002E19E4" w:rsidRPr="002843F2" w:rsidRDefault="002E19E4" w:rsidP="002E19E4">
      <w:pPr>
        <w:spacing w:after="0" w:line="240" w:lineRule="auto"/>
        <w:ind w:left="284"/>
        <w:jc w:val="both"/>
        <w:rPr>
          <w:rFonts w:ascii="Arial" w:hAnsi="Arial" w:cs="Arial"/>
          <w:sz w:val="24"/>
          <w:szCs w:val="24"/>
        </w:rPr>
      </w:pPr>
    </w:p>
    <w:p w14:paraId="08E68144" w14:textId="77777777" w:rsidR="002E19E4" w:rsidRPr="002843F2" w:rsidRDefault="002E19E4" w:rsidP="002E19E4">
      <w:pPr>
        <w:spacing w:after="0" w:line="240" w:lineRule="auto"/>
        <w:ind w:left="284"/>
        <w:jc w:val="both"/>
        <w:rPr>
          <w:rFonts w:ascii="Arial" w:hAnsi="Arial" w:cs="Arial"/>
          <w:sz w:val="24"/>
          <w:szCs w:val="24"/>
        </w:rPr>
      </w:pPr>
      <w:r w:rsidRPr="002843F2">
        <w:rPr>
          <w:rFonts w:ascii="Arial" w:eastAsia="Arial" w:hAnsi="Arial" w:cs="Arial"/>
          <w:b/>
          <w:sz w:val="24"/>
          <w:szCs w:val="24"/>
        </w:rPr>
        <w:t xml:space="preserve">Copropietario. </w:t>
      </w:r>
      <w:r w:rsidRPr="002843F2">
        <w:rPr>
          <w:rFonts w:ascii="Arial" w:eastAsia="Arial" w:hAnsi="Arial" w:cs="Arial"/>
          <w:sz w:val="24"/>
          <w:szCs w:val="24"/>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14:paraId="0DF9D0C4" w14:textId="77777777" w:rsidR="002E19E4" w:rsidRPr="002843F2" w:rsidRDefault="002E19E4" w:rsidP="002E19E4">
      <w:pPr>
        <w:spacing w:after="0" w:line="240" w:lineRule="auto"/>
        <w:ind w:left="284"/>
        <w:jc w:val="both"/>
        <w:rPr>
          <w:rFonts w:ascii="Arial" w:eastAsia="Arial" w:hAnsi="Arial" w:cs="Arial"/>
          <w:b/>
          <w:sz w:val="24"/>
          <w:szCs w:val="24"/>
        </w:rPr>
      </w:pPr>
    </w:p>
    <w:p w14:paraId="43CAB87C" w14:textId="77777777" w:rsidR="002E19E4" w:rsidRPr="002843F2" w:rsidRDefault="002E19E4" w:rsidP="002E19E4">
      <w:pPr>
        <w:spacing w:after="0" w:line="240" w:lineRule="auto"/>
        <w:ind w:left="284"/>
        <w:jc w:val="both"/>
        <w:rPr>
          <w:rFonts w:ascii="Arial" w:eastAsia="Arial" w:hAnsi="Arial" w:cs="Arial"/>
          <w:sz w:val="24"/>
          <w:szCs w:val="24"/>
        </w:rPr>
      </w:pPr>
      <w:r w:rsidRPr="002843F2">
        <w:rPr>
          <w:rFonts w:ascii="Arial" w:eastAsia="Arial" w:hAnsi="Arial" w:cs="Arial"/>
          <w:b/>
          <w:sz w:val="24"/>
          <w:szCs w:val="24"/>
        </w:rPr>
        <w:t xml:space="preserve">Delegado. </w:t>
      </w:r>
      <w:r w:rsidRPr="002843F2">
        <w:rPr>
          <w:rFonts w:ascii="Arial" w:eastAsia="Arial" w:hAnsi="Arial" w:cs="Arial"/>
          <w:sz w:val="24"/>
          <w:szCs w:val="24"/>
        </w:rPr>
        <w:t>Persona natural y/o jurídica que representa a uno o más copropietarios ante la asamblea general mediante una autorización escrita y suscrita por el copropietario respectivo.</w:t>
      </w:r>
    </w:p>
    <w:p w14:paraId="53143940" w14:textId="77777777" w:rsidR="002E19E4" w:rsidRPr="002843F2" w:rsidRDefault="002E19E4" w:rsidP="002E19E4">
      <w:pPr>
        <w:spacing w:after="0" w:line="240" w:lineRule="auto"/>
        <w:ind w:left="284"/>
        <w:jc w:val="both"/>
        <w:rPr>
          <w:rFonts w:ascii="Arial" w:hAnsi="Arial" w:cs="Arial"/>
          <w:sz w:val="24"/>
          <w:szCs w:val="24"/>
        </w:rPr>
      </w:pPr>
    </w:p>
    <w:p w14:paraId="49E51BAC"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Edificio. Desarrollo inmobiliario conformado por una sola construcción de uno o varios pisos levantados sobre un predio, que comprende un número plural de bienes privados y bienes comunes.</w:t>
      </w:r>
    </w:p>
    <w:p w14:paraId="75638400"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05CBF122" w14:textId="77777777" w:rsidR="002E19E4" w:rsidRPr="002843F2" w:rsidRDefault="002E19E4" w:rsidP="002E19E4">
      <w:pPr>
        <w:spacing w:after="0" w:line="240" w:lineRule="auto"/>
        <w:ind w:left="284"/>
        <w:jc w:val="both"/>
        <w:rPr>
          <w:rFonts w:ascii="Arial" w:hAnsi="Arial" w:cs="Arial"/>
          <w:sz w:val="24"/>
          <w:szCs w:val="24"/>
        </w:rPr>
      </w:pPr>
      <w:r w:rsidRPr="002843F2">
        <w:rPr>
          <w:rFonts w:ascii="Arial" w:eastAsia="Arial" w:hAnsi="Arial" w:cs="Arial"/>
          <w:b/>
          <w:sz w:val="24"/>
          <w:szCs w:val="24"/>
        </w:rPr>
        <w:t>Expensas comunes</w:t>
      </w:r>
      <w:r w:rsidRPr="002843F2">
        <w:rPr>
          <w:rFonts w:ascii="Arial" w:eastAsia="Arial" w:hAnsi="Arial" w:cs="Arial"/>
          <w:sz w:val="24"/>
          <w:szCs w:val="24"/>
        </w:rPr>
        <w:t xml:space="preserve">. Son las Erogaciones necesarias causadas para la prestación de los servicios comunes esenciales requeridos para la existencia, seguridad y conservación de los bienes comunes. Para estos efectos se entenderán entre otros como esenciales, los servicios necesarios para el mantenimiento, reparación, reposición, reconstrucción y vigilancia de los bienes comunes, así como los servicios públicos esenciales relacionados con estos. </w:t>
      </w:r>
    </w:p>
    <w:p w14:paraId="7BEE6603" w14:textId="77777777" w:rsidR="002E19E4" w:rsidRPr="002843F2" w:rsidRDefault="002E19E4" w:rsidP="002E19E4">
      <w:pPr>
        <w:spacing w:after="0" w:line="240" w:lineRule="auto"/>
        <w:ind w:left="284"/>
        <w:jc w:val="both"/>
        <w:rPr>
          <w:rFonts w:ascii="Arial" w:eastAsia="Arial" w:hAnsi="Arial" w:cs="Arial"/>
          <w:sz w:val="24"/>
          <w:szCs w:val="24"/>
        </w:rPr>
      </w:pPr>
    </w:p>
    <w:p w14:paraId="03CC77EE" w14:textId="77777777" w:rsidR="002E19E4" w:rsidRPr="002843F2" w:rsidRDefault="002E19E4" w:rsidP="002E19E4">
      <w:pPr>
        <w:spacing w:after="0" w:line="240" w:lineRule="auto"/>
        <w:ind w:left="284"/>
        <w:jc w:val="both"/>
        <w:rPr>
          <w:rFonts w:ascii="Arial" w:hAnsi="Arial" w:cs="Arial"/>
          <w:sz w:val="24"/>
          <w:szCs w:val="24"/>
        </w:rPr>
      </w:pPr>
      <w:r w:rsidRPr="002843F2">
        <w:rPr>
          <w:rFonts w:ascii="Arial" w:eastAsia="Arial" w:hAnsi="Arial" w:cs="Arial"/>
          <w:sz w:val="24"/>
          <w:szCs w:val="24"/>
        </w:rPr>
        <w:t xml:space="preserve">En los edificios o conjuntos de uso comercial, los costos de mercadeo tendrán el carácter de expensa común, sin perjuicio de las excepciones y restricciones que el reglamento de propiedad horizontal respectivo establezca. </w:t>
      </w:r>
    </w:p>
    <w:p w14:paraId="56219C3C"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62737B2B"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 xml:space="preserve">Las expensas comunes diferentes a las relacionadas con el normal funcionamiento de la propiedad horizontal, tendrán carácter obligatorio cuando sean aprobadas por la mayoría calificada exigida para el efecto en la presente Ley. </w:t>
      </w:r>
    </w:p>
    <w:p w14:paraId="03490481"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233E8136"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El órgano de gobierno correspondiente establecerá sus presupuestos teniendo en cuenta en materia de seguridad, todas las alternativas legales que existan para cumplir con esta función.</w:t>
      </w:r>
    </w:p>
    <w:p w14:paraId="2FEFBEE0"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1B7A6215"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Módulos de contribución</w:t>
      </w:r>
      <w:r w:rsidRPr="002843F2">
        <w:rPr>
          <w:rFonts w:ascii="Arial" w:eastAsia="Arial" w:hAnsi="Arial" w:cs="Arial"/>
          <w:sz w:val="24"/>
          <w:szCs w:val="24"/>
        </w:rPr>
        <w:t>. Índices que establecen la participación porcentual de los propietarios de bienes de dominio particular, en las expensas causadas en relación con los bienes y servicios comunes cuyo uso y goce corresponda a una parte o sector determinado de la propiedad horizontal de uso residencial, comercial, industrial, de servicios o mixto.</w:t>
      </w:r>
    </w:p>
    <w:p w14:paraId="411176C7"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6067E24"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 xml:space="preserve">Propietario inicial. </w:t>
      </w:r>
      <w:r w:rsidRPr="002843F2">
        <w:rPr>
          <w:rFonts w:ascii="Arial" w:eastAsia="Arial" w:hAnsi="Arial" w:cs="Arial"/>
          <w:sz w:val="24"/>
          <w:szCs w:val="24"/>
        </w:rPr>
        <w:t xml:space="preserve">Titular del derecho real de dominio sobre uno o varios predios o inmuebles que, en ejercicio del principio de la autonomía de la voluntad privada, por medio de manifestación de voluntad contenida en escritura pública somete el inmueble o terreno al régimen de propiedad horizontal de que trata la presente Ley. </w:t>
      </w:r>
    </w:p>
    <w:p w14:paraId="522220B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24DED11"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Reglamento de Propiedad Horizontal:</w:t>
      </w:r>
      <w:r w:rsidRPr="002843F2">
        <w:rPr>
          <w:rFonts w:ascii="Arial" w:eastAsia="Arial" w:hAnsi="Arial" w:cs="Arial"/>
          <w:sz w:val="24"/>
          <w:szCs w:val="24"/>
        </w:rPr>
        <w:t xml:space="preserve"> Estatuto que adelanta el (los) Propietario(s) inicial(es) en donde regulan los derechos, deberes, obligaciones específicas de los copropietarios de un edificio, conjunto o agrupación sometido al régimen de propiedad horizontal y la forma de funcionamiento, operación y </w:t>
      </w:r>
      <w:r w:rsidRPr="002843F2">
        <w:rPr>
          <w:rFonts w:ascii="Arial" w:eastAsia="Arial" w:hAnsi="Arial" w:cs="Arial"/>
          <w:sz w:val="24"/>
          <w:szCs w:val="24"/>
        </w:rPr>
        <w:lastRenderedPageBreak/>
        <w:t>mantenimiento de los bienes y servicios comunes que se establezcan y presten dentro de la propiedad horizontal de conformidad con la ley y con su participación porcentual definida a través del coeficiente de propiedad.</w:t>
      </w:r>
    </w:p>
    <w:p w14:paraId="028C5DD3"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DF8276B"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El reglamento de propiedad horizontal tiene fuerza obligatoria para los titulares de derechos reales, ocupantes o usuarios a cualquier título de las unidades privadas, usuarios de las áreas comunes, órganos de administración y demás terceros que contraten con la persona jurídica.</w:t>
      </w:r>
    </w:p>
    <w:p w14:paraId="140D1474"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4D65725"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La adquisición, uso o tenencia de bienes privados o comunes a cualquier título, así como la vinculación o contratación con la persona jurídica implica la aceptación y sometimiento al reglamento de propiedad horizontal; y demás normativas internas que regulen las relaciones de vecindad y convivencia armónica y pacífica entre los copropietarios y/o tenedores de los bienes privados, los órganos de administración que componen la misma.</w:t>
      </w:r>
    </w:p>
    <w:p w14:paraId="3DD9F857"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6E18E989"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El reglamento de propiedad horizontal será un anexo de la escritura pública de la propiedad horizontal, en el evento de modificación o reforma solo se realizará sobre el contenido del anexo.</w:t>
      </w:r>
    </w:p>
    <w:p w14:paraId="4CC414FF" w14:textId="77777777" w:rsidR="002E19E4" w:rsidRPr="002843F2" w:rsidRDefault="002E19E4" w:rsidP="002E19E4">
      <w:pPr>
        <w:tabs>
          <w:tab w:val="left" w:pos="3686"/>
        </w:tabs>
        <w:spacing w:after="0" w:line="240" w:lineRule="auto"/>
        <w:ind w:left="284"/>
        <w:jc w:val="both"/>
        <w:rPr>
          <w:rFonts w:ascii="Arial" w:eastAsia="Arial" w:hAnsi="Arial" w:cs="Arial"/>
          <w:color w:val="4472C4"/>
          <w:sz w:val="24"/>
          <w:szCs w:val="24"/>
        </w:rPr>
      </w:pPr>
    </w:p>
    <w:p w14:paraId="19664797"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Sector.</w:t>
      </w:r>
      <w:r w:rsidRPr="002843F2">
        <w:rPr>
          <w:rFonts w:ascii="Arial" w:eastAsia="Arial" w:hAnsi="Arial" w:cs="Arial"/>
          <w:sz w:val="24"/>
          <w:szCs w:val="24"/>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las expensas comunes necesarias para su mantenimiento y la contraprestación derivada de la explotación económica de los bienes comunes, a la cual le podrán ser aplicados criterios objetivos que sustenten la diferenciación en la contribución de los copropietarios que forman parte del mismo.</w:t>
      </w:r>
    </w:p>
    <w:p w14:paraId="03D5343D"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2541CD79"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8744F1B"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5°.</w:t>
      </w:r>
      <w:r w:rsidRPr="002843F2">
        <w:rPr>
          <w:rFonts w:ascii="Arial" w:eastAsia="Arial" w:hAnsi="Arial" w:cs="Arial"/>
          <w:sz w:val="24"/>
          <w:szCs w:val="24"/>
        </w:rPr>
        <w:t xml:space="preserve"> Modifíquese el Artículo 5 de la Ley 675 de 2001, el cual quedará así:</w:t>
      </w:r>
    </w:p>
    <w:p w14:paraId="510BA8D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758CE0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 Contenido de la escritura o reglamento de propiedad horizontal.</w:t>
      </w:r>
      <w:r w:rsidRPr="002843F2">
        <w:rPr>
          <w:rFonts w:ascii="Arial" w:eastAsia="Arial" w:hAnsi="Arial" w:cs="Arial"/>
          <w:sz w:val="24"/>
          <w:szCs w:val="24"/>
        </w:rPr>
        <w:t xml:space="preserve"> La escritura pública que contiene el reglamento de propiedad horizontal deberá incluir como mínimo:</w:t>
      </w:r>
    </w:p>
    <w:p w14:paraId="34E54D9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5BDE92A3" w14:textId="77777777" w:rsidR="002E19E4" w:rsidRPr="002843F2"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El nombre e identificación del propietario inicial de la propiedad horizontal.</w:t>
      </w:r>
    </w:p>
    <w:p w14:paraId="04AC6FEE" w14:textId="77777777" w:rsidR="002E19E4" w:rsidRPr="002843F2"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El nombre distintivo de la propiedad horizontal.</w:t>
      </w:r>
    </w:p>
    <w:p w14:paraId="664EA279" w14:textId="77777777" w:rsidR="002E19E4" w:rsidRPr="002843F2"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 determinación del terreno o terrenos sobre los cuales se levanta la propiedad horizontal, por su nomenclatura, área y linderos, indicando el título o títulos de adquisición y los correspondientes folios de matrícula inmobiliaria.</w:t>
      </w:r>
    </w:p>
    <w:p w14:paraId="71BBF1D1" w14:textId="77777777" w:rsidR="002E19E4" w:rsidRPr="002843F2"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 identificación de cada uno de los bienes de dominio particular de acuerdo con los planos aprobados por la oficina de planeación distrital o municipal o por la entidad o persona que haga sus veces.</w:t>
      </w:r>
    </w:p>
    <w:p w14:paraId="5238D46A" w14:textId="77777777" w:rsidR="002E19E4" w:rsidRPr="002843F2"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lastRenderedPageBreak/>
        <w:t>La determinación de los bienes comunes, con indicación de los que tengan el carácter de esenciales, y de aquellos cuyo uso se asigne a determinados sectores de la propiedad horizontal, cuando fuere el caso.</w:t>
      </w:r>
    </w:p>
    <w:p w14:paraId="6939B927" w14:textId="77777777" w:rsidR="002E19E4" w:rsidRPr="002843F2"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strike/>
          <w:color w:val="000000"/>
          <w:sz w:val="24"/>
          <w:szCs w:val="24"/>
        </w:rPr>
      </w:pPr>
      <w:r w:rsidRPr="002843F2">
        <w:rPr>
          <w:rFonts w:ascii="Arial" w:eastAsia="Arial" w:hAnsi="Arial" w:cs="Arial"/>
          <w:color w:val="000000"/>
          <w:sz w:val="24"/>
          <w:szCs w:val="24"/>
        </w:rPr>
        <w:t>Los coeficientes de la totalidad de la copropiedad;</w:t>
      </w:r>
      <w:r w:rsidRPr="002843F2">
        <w:rPr>
          <w:rFonts w:ascii="Arial" w:eastAsia="Arial" w:hAnsi="Arial" w:cs="Arial"/>
          <w:b/>
          <w:color w:val="000000"/>
          <w:sz w:val="24"/>
          <w:szCs w:val="24"/>
        </w:rPr>
        <w:t xml:space="preserve"> </w:t>
      </w:r>
      <w:r w:rsidRPr="002843F2">
        <w:rPr>
          <w:rFonts w:ascii="Arial" w:eastAsia="Arial" w:hAnsi="Arial" w:cs="Arial"/>
          <w:color w:val="000000"/>
          <w:sz w:val="24"/>
          <w:szCs w:val="24"/>
        </w:rPr>
        <w:t>incluyendo las futuras etapas a integrar cuando la propiedad horizontal se desarrolle de ésta forma, la fórmula para determinar los coeficientes de copropiedad y los módulos de contribución, según el caso.</w:t>
      </w:r>
    </w:p>
    <w:p w14:paraId="6680F46B" w14:textId="77777777" w:rsidR="002E19E4" w:rsidRPr="002843F2"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 destinación de los bienes de dominio particular que conforman el edificio o conjunto, la cual deberá ajustarse a la licencia de construcción y las normas urbanísticas vigentes.</w:t>
      </w:r>
    </w:p>
    <w:p w14:paraId="7C2D923F" w14:textId="77777777" w:rsidR="002E19E4" w:rsidRPr="002843F2"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Las especificaciones de construcción y condiciones de seguridad, salubridad y accesibilidad de la propiedad horizontal.</w:t>
      </w:r>
    </w:p>
    <w:p w14:paraId="7B5071DF" w14:textId="77777777" w:rsidR="002E19E4" w:rsidRDefault="002E19E4"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Además de este contenido básico, los reglamentos de propiedad horizontal incluirán las regulaciones relacionadas con la administración, dirección y control de la persona jurídica que nace por ministerio de esta Ley y las reglas que gobiernan la organización el funcionamiento y la solución de conflictos dentro de la propiedad horizontal.</w:t>
      </w:r>
    </w:p>
    <w:p w14:paraId="507FAC04" w14:textId="3BD0592E" w:rsidR="00C323E1" w:rsidRPr="002843F2" w:rsidRDefault="00C323E1" w:rsidP="000E36E0">
      <w:pPr>
        <w:numPr>
          <w:ilvl w:val="0"/>
          <w:numId w:val="61"/>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Derechos y obligaciones de los propietarios.</w:t>
      </w:r>
    </w:p>
    <w:p w14:paraId="582D62EF"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p>
    <w:p w14:paraId="60394C74"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Parágrafo 1º.</w:t>
      </w:r>
      <w:r w:rsidRPr="002843F2">
        <w:rPr>
          <w:rFonts w:ascii="Arial" w:eastAsia="Arial" w:hAnsi="Arial" w:cs="Arial"/>
          <w:sz w:val="24"/>
          <w:szCs w:val="24"/>
        </w:rPr>
        <w:t xml:space="preserve"> En ningún caso las disposiciones contenidas en los reglamentos de propiedad horizontal podrán vulnerar las normas imperativas contenidas en esta Ley y, en tal caso, se entenderán no escritas.</w:t>
      </w:r>
    </w:p>
    <w:p w14:paraId="1136F1FC"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3EDFCFC"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Parágrafo 2º</w:t>
      </w:r>
      <w:r w:rsidRPr="002843F2">
        <w:rPr>
          <w:rFonts w:ascii="Arial" w:eastAsia="Arial" w:hAnsi="Arial" w:cs="Arial"/>
          <w:sz w:val="24"/>
          <w:szCs w:val="24"/>
        </w:rPr>
        <w:t xml:space="preserve">. En los distritos o municipios donde existan planos prediales </w:t>
      </w:r>
      <w:proofErr w:type="spellStart"/>
      <w:r w:rsidRPr="002843F2">
        <w:rPr>
          <w:rFonts w:ascii="Arial" w:eastAsia="Arial" w:hAnsi="Arial" w:cs="Arial"/>
          <w:sz w:val="24"/>
          <w:szCs w:val="24"/>
        </w:rPr>
        <w:t>georreferenciados</w:t>
      </w:r>
      <w:proofErr w:type="spellEnd"/>
      <w:r w:rsidRPr="002843F2">
        <w:rPr>
          <w:rFonts w:ascii="Arial" w:eastAsia="Arial" w:hAnsi="Arial" w:cs="Arial"/>
          <w:sz w:val="24"/>
          <w:szCs w:val="24"/>
        </w:rPr>
        <w:t>, adoptados o debidamente aprobados por la autoridad catastral competente, estos podrán sustituir los elementos de determinación del terreno enunciados en el numeral tercero del presente artículo.</w:t>
      </w:r>
    </w:p>
    <w:p w14:paraId="5C0EF802"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54D41DD"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Parágrafo 3º.</w:t>
      </w:r>
      <w:r w:rsidRPr="002843F2">
        <w:rPr>
          <w:rFonts w:ascii="Arial" w:eastAsia="Arial" w:hAnsi="Arial" w:cs="Arial"/>
          <w:sz w:val="24"/>
          <w:szCs w:val="24"/>
        </w:rPr>
        <w:t xml:space="preserve"> Los reglamentos de propiedad horizontal podrán consagrar, además del contenido mínimo previsto en esta Ley, regulaciones tendientes a preservar el ejercicio efectivo y continuo de la actividad mercantil en los bienes privados, y a propender por su ubicación según el uso específico o sectorial al cual se encuentren destinados, así como las obligaciones específicas de los propietarios en relación con sus bienes privados. La presente disposición podrá ser aplicada únicamente cuando dichas actividades mercantiles en los bienes privados se encuentren permitidas en las normas urbanísticas del distrito o municipio en el cual se encuentre ubicada la propiedad horizontal correspondiente.</w:t>
      </w:r>
    </w:p>
    <w:p w14:paraId="3FE48CA8"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DF4ECE9"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Parágrafo 4º</w:t>
      </w:r>
      <w:r w:rsidRPr="002843F2">
        <w:rPr>
          <w:rFonts w:ascii="Arial" w:eastAsia="Arial" w:hAnsi="Arial" w:cs="Arial"/>
          <w:sz w:val="24"/>
          <w:szCs w:val="24"/>
        </w:rPr>
        <w:t>. Los reglamentos de propiedad horizontal no podrán contener normas que prohíban o limiten la enajenación, gravamen y disposición de los bienes de dominio privado a cualquier título, así como tampoco prohibir la tenencia de mascotas o animales domésticos, al igual que el acceso de tenedores y visitantes a los bienes de dominio particular, salvo que sea por orden judicial ejecutoriada.</w:t>
      </w:r>
    </w:p>
    <w:p w14:paraId="7831855A"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ED5BE51"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lastRenderedPageBreak/>
        <w:t>Parágrafo 5º.</w:t>
      </w:r>
      <w:r w:rsidRPr="002843F2">
        <w:rPr>
          <w:rFonts w:ascii="Arial" w:eastAsia="Arial" w:hAnsi="Arial" w:cs="Arial"/>
          <w:sz w:val="24"/>
          <w:szCs w:val="24"/>
        </w:rPr>
        <w:t xml:space="preserve"> Al momento de la entrega de cada inmueble, deberá proporcionarse a cada propietario y al promitente comprador, copia del reglamento de propiedad horizontal, manual de convivencia y de los planos eléctricos e hidráulicos, en medio físico y digital., así como de los manuales de usuario para el adecuado mantenimiento de las unidades privadas como de las zonas comunes de la propiedad horizontal, especificando en los mismos la lista de los proveedores de las instalaciones o aditamentos que se entregan con los inmuebles para efectos de permitir en el ejercicio del derecho de garantía legal establecidos en la Ley 1480 de 2014.</w:t>
      </w:r>
    </w:p>
    <w:p w14:paraId="08F2DD3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81CDB12"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60D30CF"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6.</w:t>
      </w:r>
      <w:r w:rsidRPr="002843F2">
        <w:rPr>
          <w:rFonts w:ascii="Arial" w:eastAsia="Arial" w:hAnsi="Arial" w:cs="Arial"/>
          <w:sz w:val="24"/>
          <w:szCs w:val="24"/>
        </w:rPr>
        <w:t xml:space="preserve"> Modifíquese el Artículo 6 de la Ley 675 de 2001, el cual quedará así:</w:t>
      </w:r>
    </w:p>
    <w:p w14:paraId="331644E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85EF5C3"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Artículo 6°. Documentación anexa</w:t>
      </w:r>
      <w:r w:rsidRPr="002843F2">
        <w:rPr>
          <w:rFonts w:ascii="Arial" w:eastAsia="Arial" w:hAnsi="Arial" w:cs="Arial"/>
          <w:sz w:val="24"/>
          <w:szCs w:val="24"/>
        </w:rPr>
        <w:t xml:space="preserve">. Con la escritura pública de constitución o de adición al régimen de propiedad horizontal, según sea el caso, deberán protocolizarse la licencia de construcción o el documento que haga sus veces y los planos aprobados por la autoridad competente que muestren la localización, linderos, nomenclatura y área de cada una de las unidades independientes que serán objeto de propiedad exclusiva o particular y el señalamiento general de las áreas y bienes de uso común. El reglamento de Propiedad Horizontal debe coincidir de manera exacta con las Licencias expedidas por la Autoridad competente, en especial con la conformación progresiva o por etapas, los índices de </w:t>
      </w:r>
      <w:proofErr w:type="spellStart"/>
      <w:r w:rsidRPr="002843F2">
        <w:rPr>
          <w:rFonts w:ascii="Arial" w:eastAsia="Arial" w:hAnsi="Arial" w:cs="Arial"/>
          <w:sz w:val="24"/>
          <w:szCs w:val="24"/>
        </w:rPr>
        <w:t>ediﬁcabilidad</w:t>
      </w:r>
      <w:proofErr w:type="spellEnd"/>
      <w:r w:rsidRPr="002843F2">
        <w:rPr>
          <w:rFonts w:ascii="Arial" w:eastAsia="Arial" w:hAnsi="Arial" w:cs="Arial"/>
          <w:sz w:val="24"/>
          <w:szCs w:val="24"/>
        </w:rPr>
        <w:t>, la ubicación de los bienes privados y comunes y la naturaleza y titularidad del suelo objeto de desarrollo.</w:t>
      </w:r>
    </w:p>
    <w:p w14:paraId="6E07267C"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235C4B93"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w:t>
      </w:r>
      <w:r w:rsidRPr="002843F2">
        <w:rPr>
          <w:rFonts w:ascii="Arial" w:eastAsia="Arial" w:hAnsi="Arial" w:cs="Arial"/>
          <w:sz w:val="24"/>
          <w:szCs w:val="24"/>
        </w:rPr>
        <w:t xml:space="preserve"> Si se encontraren discordancias entre la escritura de constitución o adición al régimen de propiedad horizontal y los documentos señalados en el presente Artículo, el Notario Público respectivo dejará constancia expresa en la escritura y notificará a la entidad encargada de la inspección vigilancia y control, so pena de sanción a cargo de la Superintendencia de Notariado y Registro.</w:t>
      </w:r>
    </w:p>
    <w:p w14:paraId="26CC08DE"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7C7CE48B"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E5895AA"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7.</w:t>
      </w:r>
      <w:r w:rsidRPr="002843F2">
        <w:rPr>
          <w:rFonts w:ascii="Arial" w:eastAsia="Arial" w:hAnsi="Arial" w:cs="Arial"/>
          <w:sz w:val="24"/>
          <w:szCs w:val="24"/>
        </w:rPr>
        <w:t xml:space="preserve"> Modifíquese el Artículo 7 de la Ley 675 de 2001, el cual quedará así:</w:t>
      </w:r>
    </w:p>
    <w:p w14:paraId="07728DA0"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0AFF80F"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Artículo 7°. Propiedad horizontal por etapas.</w:t>
      </w:r>
      <w:r w:rsidRPr="002843F2">
        <w:rPr>
          <w:rFonts w:ascii="Arial" w:eastAsia="Arial" w:hAnsi="Arial" w:cs="Arial"/>
          <w:sz w:val="24"/>
          <w:szCs w:val="24"/>
        </w:rPr>
        <w:t xml:space="preserve"> Modalidad de construcción de la copropiedad horizontal a la cual pueden ser sometidos edificios, conjuntos o agrupaciones cuyo propietario inicial plantee su desarrollo por etapas. Esta modalidad será señalada en la escritura pública de constitución y regulara dentro de su contenido el régimen general del mismo, la forma de integrar las etapas subsiguientes, los bienes comunes ubicados en cada etapa y los coeficientes de copropiedad correspondientes a los bienes o lotes privados de la totalidad de las etapas que la conformará, los cuales tendrán carácter provisional. Así mismo, en el reglamento de propiedad horizontal inicial se deberán señalar los bienes comunes generales que estarán al servicio de todas las etapas que conforman la propiedad horizontal.</w:t>
      </w:r>
    </w:p>
    <w:p w14:paraId="09CC357D"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7A2CAE4F"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Las subsiguientes etapas las integrará el propietario inicial o su sucesor o causahabiente mediante escrituras públicas de adición al reglamento de propiedad horizontal inicial, en las cuales se identificará plenamente la etapa 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w:t>
      </w:r>
    </w:p>
    <w:p w14:paraId="1F280BDB"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E5B8D79"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En la escritura pública por medio de la cual se integra la última etapa, los coeficientes de copropiedad de todo el edificio, conjunto o agrupación se determinarán con carácter definitivo.</w:t>
      </w:r>
    </w:p>
    <w:p w14:paraId="794F4EA5"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7288FB29"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Tanto los coeficientes provisionales como los definitivos se calcularán de conformidad con lo establecido en la presente Ley.</w:t>
      </w:r>
    </w:p>
    <w:p w14:paraId="0C185167"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1BF7997D"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En los casos de propiedad horizontal por etapas, el propietario inicial y/o constructor deberá informar tal circunstancia en la fase de comercialización del proyecto, suministrando a los consumidores información, clara, veraz, suficiente, oportuna, verificable, comprensible, precisa e idónea sobre el marco temporal en que la construcción por etapas se tendrá por finalizada. De igual manera, el propietario inicial deberá asumir los costos de la adición del reglamento de propiedad horizontal por la incorporación de etapas a la que hubiere lugar.</w:t>
      </w:r>
    </w:p>
    <w:p w14:paraId="04C80550"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08808AAF"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w:t>
      </w:r>
    </w:p>
    <w:p w14:paraId="46550D07"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47E19AE3"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 xml:space="preserve">Parágrafo 2°. </w:t>
      </w:r>
      <w:r w:rsidRPr="002843F2">
        <w:rPr>
          <w:rFonts w:ascii="Arial" w:eastAsia="Arial" w:hAnsi="Arial" w:cs="Arial"/>
          <w:sz w:val="24"/>
          <w:szCs w:val="24"/>
        </w:rPr>
        <w:t>El propietario inicial y/o constructor deberá 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p w14:paraId="34FFCC09"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4433961"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31FD1C59"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8.</w:t>
      </w:r>
      <w:r w:rsidRPr="002843F2">
        <w:rPr>
          <w:rFonts w:ascii="Arial" w:eastAsia="Arial" w:hAnsi="Arial" w:cs="Arial"/>
          <w:sz w:val="24"/>
          <w:szCs w:val="24"/>
        </w:rPr>
        <w:t xml:space="preserve"> Modifíquese el Artículo 8 de la Ley 675 de 2001, el cual quedará así:</w:t>
      </w:r>
    </w:p>
    <w:p w14:paraId="56356191"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8ECCC58"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Artículo 8. Certificación sobre existencia y representación legal de la persona jurídica.</w:t>
      </w:r>
      <w:r w:rsidRPr="002843F2">
        <w:rPr>
          <w:rFonts w:ascii="Arial" w:eastAsia="Arial" w:hAnsi="Arial" w:cs="Arial"/>
          <w:sz w:val="24"/>
          <w:szCs w:val="24"/>
        </w:rPr>
        <w:t xml:space="preserve"> La inscripción y posterior certificación sobre la existencia y representación legal de las personas jurídicas a las que alude esta Ley corresponde a la Cámara de Comercio del lugar de ubicación del edificio o conjunto.</w:t>
      </w:r>
    </w:p>
    <w:p w14:paraId="0F682F8D"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2AF4F70F"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lastRenderedPageBreak/>
        <w:t>La inscripción, renovación o actualización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w:t>
      </w:r>
    </w:p>
    <w:p w14:paraId="12B6D531"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0B1D6B02"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Para la inscripción, renovación o actualización del representante legal de la propiedad horizontal no podrán exigirse la presentación de la escritura pública, salvo que se haya modificado con posterioridad a la inscripción inicial y no se haya realizado la respectiva actualización.</w:t>
      </w:r>
    </w:p>
    <w:p w14:paraId="029ED3AB"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3D383464" w14:textId="77777777" w:rsidR="00C323E1"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 xml:space="preserve">En ningún caso se podrán exigir trámites o requisitos adicionales para la inscripción, renovación o actualización de las certificaciones de representación legal, salvo que de oficio o a petición de parte se requiera </w:t>
      </w:r>
      <w:r w:rsidR="00C323E1">
        <w:rPr>
          <w:rFonts w:ascii="Arial" w:eastAsia="Arial" w:hAnsi="Arial" w:cs="Arial"/>
          <w:sz w:val="24"/>
          <w:szCs w:val="24"/>
        </w:rPr>
        <w:t>la verificación de</w:t>
      </w:r>
      <w:r w:rsidRPr="002843F2">
        <w:rPr>
          <w:rFonts w:ascii="Arial" w:eastAsia="Arial" w:hAnsi="Arial" w:cs="Arial"/>
          <w:sz w:val="24"/>
          <w:szCs w:val="24"/>
        </w:rPr>
        <w:t xml:space="preserve"> la</w:t>
      </w:r>
      <w:r w:rsidR="00C323E1">
        <w:rPr>
          <w:rFonts w:ascii="Arial" w:eastAsia="Arial" w:hAnsi="Arial" w:cs="Arial"/>
          <w:sz w:val="24"/>
          <w:szCs w:val="24"/>
        </w:rPr>
        <w:t xml:space="preserve"> identidad del sujeto que solicita el registro.</w:t>
      </w:r>
    </w:p>
    <w:p w14:paraId="42FA1952" w14:textId="303EA8A3" w:rsidR="00C323E1" w:rsidRDefault="00C323E1" w:rsidP="002E19E4">
      <w:pPr>
        <w:tabs>
          <w:tab w:val="left" w:pos="3686"/>
        </w:tabs>
        <w:spacing w:after="0" w:line="240" w:lineRule="auto"/>
        <w:ind w:left="284"/>
        <w:jc w:val="both"/>
        <w:rPr>
          <w:rFonts w:ascii="Arial" w:eastAsia="Arial" w:hAnsi="Arial" w:cs="Arial"/>
          <w:sz w:val="24"/>
          <w:szCs w:val="24"/>
        </w:rPr>
      </w:pPr>
      <w:r>
        <w:rPr>
          <w:rFonts w:ascii="Arial" w:eastAsia="Arial" w:hAnsi="Arial" w:cs="Arial"/>
          <w:sz w:val="24"/>
          <w:szCs w:val="24"/>
        </w:rPr>
        <w:t xml:space="preserve"> </w:t>
      </w:r>
    </w:p>
    <w:p w14:paraId="0FAA2FF1" w14:textId="5ADCC739" w:rsidR="00C323E1" w:rsidRPr="002843F2" w:rsidRDefault="00C323E1" w:rsidP="002E19E4">
      <w:pPr>
        <w:tabs>
          <w:tab w:val="left" w:pos="3686"/>
        </w:tabs>
        <w:spacing w:after="0" w:line="240" w:lineRule="auto"/>
        <w:ind w:left="284"/>
        <w:jc w:val="both"/>
        <w:rPr>
          <w:rFonts w:ascii="Arial" w:eastAsia="Arial" w:hAnsi="Arial" w:cs="Arial"/>
          <w:sz w:val="24"/>
          <w:szCs w:val="24"/>
        </w:rPr>
      </w:pPr>
      <w:r>
        <w:rPr>
          <w:rFonts w:ascii="Arial" w:eastAsia="Arial" w:hAnsi="Arial" w:cs="Arial"/>
          <w:sz w:val="24"/>
          <w:szCs w:val="24"/>
        </w:rPr>
        <w:t>Este trámite será gratuito para las Propiedades Horizontales cuyo estrato sea 1 y 2.</w:t>
      </w:r>
    </w:p>
    <w:p w14:paraId="64CB7D8A"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17075DA0" w14:textId="2AA22F0D" w:rsidR="002E19E4"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Las Cámaras de Comercio deberán dar respuesta a la solicitud dentro de los diez (10) días hábiles siguientes a la radicación</w:t>
      </w:r>
      <w:r w:rsidR="00C323E1">
        <w:rPr>
          <w:rFonts w:ascii="Arial" w:eastAsia="Arial" w:hAnsi="Arial" w:cs="Arial"/>
          <w:sz w:val="24"/>
          <w:szCs w:val="24"/>
        </w:rPr>
        <w:t>. Al momento de efectuar el trámite, las Cámaras de Comercio, verificarán la identidad del sujeto que solicita el registro.</w:t>
      </w:r>
    </w:p>
    <w:p w14:paraId="3A882711" w14:textId="77777777" w:rsidR="00C323E1" w:rsidRPr="002843F2" w:rsidRDefault="00C323E1" w:rsidP="002E19E4">
      <w:pPr>
        <w:tabs>
          <w:tab w:val="left" w:pos="3686"/>
        </w:tabs>
        <w:spacing w:after="0" w:line="240" w:lineRule="auto"/>
        <w:ind w:left="284"/>
        <w:jc w:val="both"/>
        <w:rPr>
          <w:rFonts w:ascii="Arial" w:eastAsia="Arial" w:hAnsi="Arial" w:cs="Arial"/>
          <w:sz w:val="24"/>
          <w:szCs w:val="24"/>
        </w:rPr>
      </w:pPr>
    </w:p>
    <w:p w14:paraId="109F84FD"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2º</w:t>
      </w:r>
      <w:r w:rsidRPr="002843F2">
        <w:rPr>
          <w:rFonts w:ascii="Arial" w:eastAsia="Arial" w:hAnsi="Arial" w:cs="Arial"/>
          <w:sz w:val="24"/>
          <w:szCs w:val="24"/>
        </w:rPr>
        <w:t>. En caso de una vacancia absoluta por parte del Administrador como Representante Legal de la persona jurídica, la misma recaerá en el Presidente de la Asamblea o del Consejo de Administración si lo tuviese por el tiempo que dure el trámite de renovación o modificación de la representación legal.</w:t>
      </w:r>
    </w:p>
    <w:p w14:paraId="52BDAAC9"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14DC8CB"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301D038A"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9.</w:t>
      </w:r>
      <w:r w:rsidRPr="002843F2">
        <w:rPr>
          <w:rFonts w:ascii="Arial" w:eastAsia="Arial" w:hAnsi="Arial" w:cs="Arial"/>
          <w:sz w:val="24"/>
          <w:szCs w:val="24"/>
        </w:rPr>
        <w:t xml:space="preserve"> Modifíquese el Artículo 9 de la Ley 675 de 2001, el cual quedará así:</w:t>
      </w:r>
    </w:p>
    <w:p w14:paraId="641D9F4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F74079C"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Artículo 9º. Causales de extinción de la propiedad horizontal.</w:t>
      </w:r>
      <w:r w:rsidRPr="002843F2">
        <w:rPr>
          <w:rFonts w:ascii="Arial" w:eastAsia="Arial" w:hAnsi="Arial" w:cs="Arial"/>
          <w:sz w:val="24"/>
          <w:szCs w:val="24"/>
        </w:rPr>
        <w:t xml:space="preserve"> La propiedad horizontal se extinguirá por alguna de las siguientes causales:</w:t>
      </w:r>
    </w:p>
    <w:p w14:paraId="0154DAF2"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F601F47" w14:textId="77777777" w:rsidR="002E19E4" w:rsidRPr="002843F2" w:rsidRDefault="002E19E4" w:rsidP="000E36E0">
      <w:pPr>
        <w:numPr>
          <w:ilvl w:val="0"/>
          <w:numId w:val="53"/>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 destrucción o el deterioro total del edificio o de las edificaciones que conforman un conjunto, en una proporción que represente por lo menos el setenta por ciento (75%) del edificio o etapa en particular salvo cuando se decida su reconstrucción, de conformidad con la reglamentación que para el efecto expida el Gobierno Nacional.</w:t>
      </w:r>
    </w:p>
    <w:p w14:paraId="159CA477" w14:textId="77777777" w:rsidR="002E19E4" w:rsidRPr="002843F2" w:rsidRDefault="002E19E4" w:rsidP="000E36E0">
      <w:pPr>
        <w:numPr>
          <w:ilvl w:val="0"/>
          <w:numId w:val="53"/>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La decisión unánime de los titulares del derecho de propiedad sobre bienes de dominio particular, siempre y cuando medie la aceptación por escrito de </w:t>
      </w:r>
      <w:r w:rsidRPr="002843F2">
        <w:rPr>
          <w:rFonts w:ascii="Arial" w:eastAsia="Arial" w:hAnsi="Arial" w:cs="Arial"/>
          <w:color w:val="000000"/>
          <w:sz w:val="24"/>
          <w:szCs w:val="24"/>
        </w:rPr>
        <w:lastRenderedPageBreak/>
        <w:t>los acreedores con garantía real sobre los mismos, o sobre el edificio o conjunto.</w:t>
      </w:r>
    </w:p>
    <w:p w14:paraId="355E14A7" w14:textId="77777777" w:rsidR="002E19E4" w:rsidRPr="002843F2" w:rsidRDefault="002E19E4" w:rsidP="000E36E0">
      <w:pPr>
        <w:numPr>
          <w:ilvl w:val="0"/>
          <w:numId w:val="53"/>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 orden de autoridad judicial o administrativa.</w:t>
      </w:r>
    </w:p>
    <w:p w14:paraId="754B1B53"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5D6440BD"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En caso de demolición o destrucción total del edificio o edificaciones que conforman el conjunto, el terreno sobre el cual se encontraban construidos seguirá gravado proporcionalmente, de acuerdo con los coeficientes de copropiedad, por las hipotecas y demás gravámenes que pesaban sobre los bienes privados.</w:t>
      </w:r>
    </w:p>
    <w:p w14:paraId="6A148560"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304D913D"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xml:space="preserve"> Los titulares de dominio en propiedades horizontales de uso diferente al residencial podrán, por una sola vez, con la aprobación de más del 70% de coeficientes totales, tomar la decisión de transferir sus unidades privadas a una sociedad comercial, a una forma asociativa, a un patrimonio autónomo o de afectación u otra forma de colaboración que acuerden, a fin de establecer una administración unitaria o monolítica de la propiedad así configurada. La transferencia del dominio que se haga por esa única vez se tendrá como un acto notarial sin cuantía, para todos los efectos, incluso para la liquidación de derechos de registro. La participación del aportante, socio, comunero o beneficiario en el nuevo patrimonio o ente asociativo será equivalente al porcentaje de su coeficiente de copropiedad en el momento del aporte o transferencia.</w:t>
      </w:r>
    </w:p>
    <w:p w14:paraId="2AC99113"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11CF5D6C"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3°.</w:t>
      </w:r>
      <w:r w:rsidRPr="002843F2">
        <w:rPr>
          <w:rFonts w:ascii="Arial" w:eastAsia="Arial" w:hAnsi="Arial" w:cs="Arial"/>
          <w:sz w:val="24"/>
          <w:szCs w:val="24"/>
        </w:rPr>
        <w:t xml:space="preserve"> Las limitaciones, gravámenes, condiciones y demás cargas que soporte el dominio sobre las unidades privadas, deberán ser </w:t>
      </w:r>
      <w:proofErr w:type="gramStart"/>
      <w:r w:rsidRPr="002843F2">
        <w:rPr>
          <w:rFonts w:ascii="Arial" w:eastAsia="Arial" w:hAnsi="Arial" w:cs="Arial"/>
          <w:sz w:val="24"/>
          <w:szCs w:val="24"/>
        </w:rPr>
        <w:t>canceladas</w:t>
      </w:r>
      <w:proofErr w:type="gramEnd"/>
      <w:r w:rsidRPr="002843F2">
        <w:rPr>
          <w:rFonts w:ascii="Arial" w:eastAsia="Arial" w:hAnsi="Arial" w:cs="Arial"/>
          <w:sz w:val="24"/>
          <w:szCs w:val="24"/>
        </w:rPr>
        <w:t xml:space="preserve"> o levantadas por el titular del dominio, antes de su transferencia al nuevo patrimonio o ente asociativo. No obstante, el partícipe o aportante, titular del dominio sobre la propiedad gravada o limitada, podrá acordar que el nuevo ente, patrimonio o asociación, cancele tales limitaciones, gravámenes o condiciones, disminuyendo su porcentaje de participación en la sociedad, patrimonio o entidad, a valores inferiores al de su coeficiente de copropiedad.   </w:t>
      </w:r>
    </w:p>
    <w:p w14:paraId="5B3FB1B4"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35912C72"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 xml:space="preserve">Parágrafo 4°. </w:t>
      </w:r>
      <w:r w:rsidRPr="002843F2">
        <w:rPr>
          <w:rFonts w:ascii="Arial" w:eastAsia="Arial" w:hAnsi="Arial" w:cs="Arial"/>
          <w:sz w:val="24"/>
          <w:szCs w:val="24"/>
        </w:rPr>
        <w:t>Si la decisión a la que se refiere el parágrafo segundo es tomada con el coeficiente señalado, los restantes titulares de dominio podrán continuar con su propiedad en la forma en que la han ejercido dentro de la propiedad horizontal, pero los usos y destinos específicos de la totalidad de unidades privadas serán determinados por la mayoría simple de los propietarios, en términos de coeficientes de copropiedad, sin perjuicio de los usos o destinos asignados a las unidades en el momento de entrar en vigencia esta disposición.</w:t>
      </w:r>
    </w:p>
    <w:p w14:paraId="1D62D407"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736CD660"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5°.</w:t>
      </w:r>
      <w:r w:rsidRPr="002843F2">
        <w:rPr>
          <w:rFonts w:ascii="Arial" w:eastAsia="Arial" w:hAnsi="Arial" w:cs="Arial"/>
          <w:sz w:val="24"/>
          <w:szCs w:val="24"/>
        </w:rPr>
        <w:t xml:space="preserve"> Si todos los propietarios deciden transferir el dominio sobre sus unidades al nuevo ente, patrimonio o asociación, se procederá a la disolución y liquidación de la persona jurídica propiedad horizontal, sin que haya lugar a la división de la copropiedad referida en el artículo 11 de la presente Ley.</w:t>
      </w:r>
    </w:p>
    <w:p w14:paraId="316905CE"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25107D1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49B9940"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10º.</w:t>
      </w:r>
      <w:r w:rsidRPr="002843F2">
        <w:rPr>
          <w:rFonts w:ascii="Arial" w:eastAsia="Arial" w:hAnsi="Arial" w:cs="Arial"/>
          <w:sz w:val="24"/>
          <w:szCs w:val="24"/>
        </w:rPr>
        <w:t xml:space="preserve"> Modifíquese el artículo 15 de la Ley 675 de 2001, el cual quedará así:</w:t>
      </w:r>
    </w:p>
    <w:p w14:paraId="6052E11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69171EA"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Artículo 15°. Seguros.</w:t>
      </w:r>
      <w:r w:rsidRPr="002843F2">
        <w:rPr>
          <w:rFonts w:ascii="Arial" w:eastAsia="Arial" w:hAnsi="Arial" w:cs="Arial"/>
          <w:sz w:val="24"/>
          <w:szCs w:val="24"/>
        </w:rPr>
        <w:t xml:space="preserve"> Todas las copropiedades sometidas al régimen de propiedad horizontal deberán constituir pólizas de seguros que cubran contra los riesgos de incendio y terremoto, que garanticen la reconstrucción total de los mismos. Igualmente, aquéllos deberán constituir pólizas de seguros para cubrir los riesgos que se puedan generar a ocupantes o visitantes en áreas comunes como piscinas, juegos infantiles, o similares, cuando se tengan estas zonas.</w:t>
      </w:r>
    </w:p>
    <w:p w14:paraId="74CBF9F1"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0408DE2"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Cuando la copropiedad sea operadora o administradora directa de unidades privadas destinadas a la prestación de servicios de alojamiento y hospedaje, deberá contar con una póliza de seguro de responsabilidad contra daños a huéspedes y a terceros. Esta póliza deberá cubrir cualquier siniestro que se presente durante la prestación del servicio de alojamiento turístico. Como mínimo, deberá cubrir los riesgos de muerte, incapacidad permanente, incapacidad temporal, lesiones, daños a bienes de terceros y gastos médicos.</w:t>
      </w:r>
    </w:p>
    <w:p w14:paraId="578FF057"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48042042" w14:textId="325384D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sz w:val="24"/>
          <w:szCs w:val="24"/>
        </w:rPr>
        <w:t>El gobierno nacional deberá reglamentar la expedición de pólizas de seguro a primera pérdida, seguro parcial, de cobertura mínima contra incendio y terremoto, de vigencia anual y con pagos mensuales sin cobro de intereses, que sea aplicable a todas las propiedades horizontales que por sus condiciones de riesgo no encuentren seguro que las cubra por el valor total de reconstrucción; al igual que para las c</w:t>
      </w:r>
      <w:r w:rsidR="00946A7C">
        <w:rPr>
          <w:rFonts w:ascii="Arial" w:eastAsia="Arial" w:hAnsi="Arial" w:cs="Arial"/>
          <w:sz w:val="24"/>
          <w:szCs w:val="24"/>
        </w:rPr>
        <w:t>opropiedades en los estratos 1,</w:t>
      </w:r>
      <w:r w:rsidRPr="002843F2">
        <w:rPr>
          <w:rFonts w:ascii="Arial" w:eastAsia="Arial" w:hAnsi="Arial" w:cs="Arial"/>
          <w:sz w:val="24"/>
          <w:szCs w:val="24"/>
        </w:rPr>
        <w:t xml:space="preserve"> 2</w:t>
      </w:r>
      <w:r w:rsidR="00946A7C">
        <w:rPr>
          <w:rFonts w:ascii="Arial" w:eastAsia="Arial" w:hAnsi="Arial" w:cs="Arial"/>
          <w:sz w:val="24"/>
          <w:szCs w:val="24"/>
        </w:rPr>
        <w:t xml:space="preserve"> y 3</w:t>
      </w:r>
      <w:r w:rsidRPr="002843F2">
        <w:rPr>
          <w:rFonts w:ascii="Arial" w:eastAsia="Arial" w:hAnsi="Arial" w:cs="Arial"/>
          <w:sz w:val="24"/>
          <w:szCs w:val="24"/>
        </w:rPr>
        <w:t>.</w:t>
      </w:r>
    </w:p>
    <w:p w14:paraId="615657F8"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4879B6AF"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1º.</w:t>
      </w:r>
      <w:r w:rsidRPr="002843F2">
        <w:rPr>
          <w:rFonts w:ascii="Arial" w:eastAsia="Arial" w:hAnsi="Arial" w:cs="Arial"/>
          <w:sz w:val="24"/>
          <w:szCs w:val="24"/>
        </w:rPr>
        <w:t xml:space="preserve"> En todo caso será obligatoria la constitución de pólizas de seguros que cubran contra los riesgos de incendio y terremoto de los bienes comunes susceptibles a ser asegurados que trata la presente Ley.</w:t>
      </w:r>
    </w:p>
    <w:p w14:paraId="00623F81"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p>
    <w:p w14:paraId="542AE8DE"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2º.</w:t>
      </w:r>
      <w:r w:rsidRPr="002843F2">
        <w:rPr>
          <w:rFonts w:ascii="Arial" w:eastAsia="Arial" w:hAnsi="Arial" w:cs="Arial"/>
          <w:sz w:val="24"/>
          <w:szCs w:val="24"/>
        </w:rPr>
        <w:t xml:space="preserve">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p w14:paraId="0D345E8D" w14:textId="77777777" w:rsidR="002E19E4" w:rsidRPr="002843F2" w:rsidRDefault="002E19E4" w:rsidP="002E19E4">
      <w:pPr>
        <w:tabs>
          <w:tab w:val="left" w:pos="3686"/>
        </w:tabs>
        <w:spacing w:after="0" w:line="240" w:lineRule="auto"/>
        <w:ind w:left="284"/>
        <w:jc w:val="both"/>
        <w:rPr>
          <w:rFonts w:ascii="Arial" w:eastAsia="Arial" w:hAnsi="Arial" w:cs="Arial"/>
          <w:b/>
          <w:sz w:val="24"/>
          <w:szCs w:val="24"/>
        </w:rPr>
      </w:pPr>
    </w:p>
    <w:p w14:paraId="2D1BF72E" w14:textId="77777777" w:rsidR="002E19E4" w:rsidRPr="002843F2" w:rsidRDefault="002E19E4" w:rsidP="002E19E4">
      <w:pPr>
        <w:tabs>
          <w:tab w:val="left" w:pos="3686"/>
        </w:tabs>
        <w:spacing w:after="0" w:line="240" w:lineRule="auto"/>
        <w:ind w:left="284"/>
        <w:jc w:val="both"/>
        <w:rPr>
          <w:rFonts w:ascii="Arial" w:eastAsia="Arial" w:hAnsi="Arial" w:cs="Arial"/>
          <w:sz w:val="24"/>
          <w:szCs w:val="24"/>
        </w:rPr>
      </w:pPr>
      <w:r w:rsidRPr="002843F2">
        <w:rPr>
          <w:rFonts w:ascii="Arial" w:eastAsia="Arial" w:hAnsi="Arial" w:cs="Arial"/>
          <w:b/>
          <w:sz w:val="24"/>
          <w:szCs w:val="24"/>
        </w:rPr>
        <w:t>Parágrafo 3°.</w:t>
      </w:r>
      <w:r w:rsidRPr="002843F2">
        <w:rPr>
          <w:rFonts w:ascii="Arial" w:eastAsia="Arial" w:hAnsi="Arial" w:cs="Arial"/>
          <w:sz w:val="24"/>
          <w:szCs w:val="24"/>
        </w:rPr>
        <w:t xml:space="preserve"> Las aseguradoras legalmente establecidas en el país, no podrán negarse a cotizar las pólizas de seguros de las copropiedades residenciales sometidos al régimen de propiedad horizontal que requieran, para proteger las áreas comunes de la copropiedad contra los riesgos de incendio y terremoto independiente de la antigüedad y/o sitio donde estén ubicados.</w:t>
      </w:r>
    </w:p>
    <w:p w14:paraId="24E65CC8"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3482198F"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7E1B3F90" w14:textId="77777777" w:rsidR="002E19E4" w:rsidRPr="002843F2" w:rsidRDefault="002E19E4" w:rsidP="002E19E4">
      <w:pPr>
        <w:tabs>
          <w:tab w:val="left" w:pos="3686"/>
        </w:tabs>
        <w:spacing w:after="0" w:line="240" w:lineRule="auto"/>
        <w:jc w:val="both"/>
        <w:rPr>
          <w:rFonts w:ascii="Arial" w:eastAsia="Arial" w:hAnsi="Arial" w:cs="Arial"/>
          <w:sz w:val="24"/>
          <w:szCs w:val="24"/>
        </w:rPr>
      </w:pPr>
      <w:bookmarkStart w:id="0" w:name="_30j0zll" w:colFirst="0" w:colLast="0"/>
      <w:bookmarkEnd w:id="0"/>
      <w:r w:rsidRPr="002843F2">
        <w:rPr>
          <w:rFonts w:ascii="Arial" w:eastAsia="Arial" w:hAnsi="Arial" w:cs="Arial"/>
          <w:b/>
          <w:sz w:val="24"/>
          <w:szCs w:val="24"/>
        </w:rPr>
        <w:t>ARTÍCULO 11°.</w:t>
      </w:r>
      <w:r w:rsidRPr="002843F2">
        <w:rPr>
          <w:rFonts w:ascii="Arial" w:eastAsia="Arial" w:hAnsi="Arial" w:cs="Arial"/>
          <w:sz w:val="24"/>
          <w:szCs w:val="24"/>
        </w:rPr>
        <w:t xml:space="preserve"> Adiciónese un parágrafo al Artículo 19 de la Ley 675 de 2001, el cual quedará así:</w:t>
      </w:r>
    </w:p>
    <w:p w14:paraId="7662757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A42381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 xml:space="preserve">Parágrafo. </w:t>
      </w:r>
      <w:r w:rsidRPr="002843F2">
        <w:rPr>
          <w:rFonts w:ascii="Arial" w:eastAsia="Arial" w:hAnsi="Arial" w:cs="Arial"/>
          <w:sz w:val="24"/>
          <w:szCs w:val="24"/>
        </w:rPr>
        <w:t>En el evento de existir modificaciones arquitectónicas a los bienes comunes por parte del propietario inicial, que varíen las condiciones comerciales de lo ofertado, ello deberá ser aprobado por la entidad competente y deberá informarse dicha circunstancia a los compradores.</w:t>
      </w:r>
    </w:p>
    <w:p w14:paraId="196FAC8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C3B1B9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incumplimiento de lo anterior conllevara a las sanciones establecidas en la Ley 1480 de 2011 o a la norma que la modifique o reemplace.</w:t>
      </w:r>
    </w:p>
    <w:p w14:paraId="329DB064"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6684CC02"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0F936735"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12°.</w:t>
      </w:r>
      <w:r w:rsidRPr="002843F2">
        <w:rPr>
          <w:rFonts w:ascii="Arial" w:eastAsia="Arial" w:hAnsi="Arial" w:cs="Arial"/>
          <w:sz w:val="24"/>
          <w:szCs w:val="24"/>
        </w:rPr>
        <w:t xml:space="preserve"> Modifíquese el Artículo 22° de la Ley 675 de 2001, el cual quedará así:</w:t>
      </w:r>
    </w:p>
    <w:p w14:paraId="24EB271C"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C48224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22°. BIENES COMUNES DE USO EXCLUSIVO</w:t>
      </w:r>
      <w:r w:rsidRPr="002843F2">
        <w:rPr>
          <w:rFonts w:ascii="Arial" w:eastAsia="Arial" w:hAnsi="Arial" w:cs="Arial"/>
          <w:sz w:val="24"/>
          <w:szCs w:val="24"/>
        </w:rPr>
        <w:t>. Los bienes comunes no necesarios para el disfrute y goce de los bienes de dominio particular, y en general, aquellos cuyo uso comunal limitaría el libre goce y disfrute de un bien privado, tales como terrazas, cubiertas, patios interiores y retiros, deberán ser enajenados de manera exclusiva a los propietarios de los bienes privados que por su localización puedan disfrutarlos.</w:t>
      </w:r>
    </w:p>
    <w:p w14:paraId="2657039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331619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Los parqueaderos de visitantes, accesos y circulaciones y todas las zonas comunes que por su naturaleza o destino son de uso y goce general, como salones comunales y áreas de recreación y deporte, entre otros, no podrán ser objeto de uso exclusivo.</w:t>
      </w:r>
    </w:p>
    <w:p w14:paraId="4879BE5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0188CDD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Los parqueaderos destinados a los vehículos de los propietarios del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 podrán ser objeto de asignación al uso exclusivo por parte de la constructora, siempre que exista proporción de uno a uno, en caso contrario no podrán ser asignados al uso exclusivo, garantizando a todos el acceso y disfrute de tales asignaciones.</w:t>
      </w:r>
    </w:p>
    <w:p w14:paraId="784D01E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D4EC420"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w:t>
      </w:r>
      <w:r w:rsidRPr="002843F2">
        <w:rPr>
          <w:rFonts w:ascii="Arial" w:eastAsia="Arial" w:hAnsi="Arial" w:cs="Arial"/>
          <w:sz w:val="24"/>
          <w:szCs w:val="24"/>
        </w:rPr>
        <w:t xml:space="preserve"> A partir de la expedición de la presente ley, no se podrán contemplar terrazas, cubiertas, patios interiores y retiros como bienes comunes de uso exclusivo y su área deberá ser tomada en cuenta para los coeficientes de la propiedad horizontal. </w:t>
      </w:r>
    </w:p>
    <w:p w14:paraId="11C6D07A"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3388B6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B49836D"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13.</w:t>
      </w:r>
      <w:r w:rsidRPr="002843F2">
        <w:rPr>
          <w:rFonts w:ascii="Arial" w:eastAsia="Arial" w:hAnsi="Arial" w:cs="Arial"/>
          <w:sz w:val="24"/>
          <w:szCs w:val="24"/>
        </w:rPr>
        <w:t xml:space="preserve"> Modifíquese el Artículo 24 de la Ley 675 de 2001, el cual quedará así:</w:t>
      </w:r>
    </w:p>
    <w:p w14:paraId="4E43DA98"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C25C593"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24°.</w:t>
      </w:r>
      <w:r w:rsidRPr="002843F2">
        <w:rPr>
          <w:rFonts w:ascii="Arial" w:eastAsia="Arial" w:hAnsi="Arial" w:cs="Arial"/>
          <w:sz w:val="24"/>
          <w:szCs w:val="24"/>
        </w:rPr>
        <w:t xml:space="preserve"> Entrega de los bienes comunes por parte del propietario inicial. La entrega de bienes comunes esenciales para el uso y goce de los bienes privados de un edificio o conjunto, tales como los elementos estructurales, accesos, escaleras, espesores y puntos fijos, se efectuará cuando el propietario inicial haya terminado la construcción de la última unidad o bienes privados con el </w:t>
      </w:r>
      <w:r w:rsidRPr="002843F2">
        <w:rPr>
          <w:rFonts w:ascii="Arial" w:eastAsia="Arial" w:hAnsi="Arial" w:cs="Arial"/>
          <w:sz w:val="24"/>
          <w:szCs w:val="24"/>
        </w:rPr>
        <w:lastRenderedPageBreak/>
        <w:t xml:space="preserve">ánimo de que se garantice la protección de dichas áreas y de los propietarios y residentes que ya hayan recibido. </w:t>
      </w:r>
    </w:p>
    <w:p w14:paraId="70194F6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607E25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Los bienes comunes de uso y goce general, ubicados en la propiedad horizontal, tales como zona de recreación y deporte y salones comunales, entre otros, se deberán entregar totalmente a las personas (s) designada(s) por la asamblea general; en su defecto al administrador definitivo, cuando se haya terminado la construcción y enajenación de un numero de bienes privados que representen por lo menos el sesenta por ciento (60%) de los coeficientes de copropiedad; siempre que este último sea una persona jurídica o natural distinta al propietario inicial, cuando se haya terminado la construcción y enajenación de un número de bienes privados que representen por lo menos el sesenta por ciento (60%) de los coeficientes de copropiedad.</w:t>
      </w:r>
    </w:p>
    <w:p w14:paraId="4782AE7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B6C186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La entrega deberá incluir los documentos de garantía de los ascensores, bombas y demás equipos, expedidas por sus proveedores, así como los planos y los certificados de disponibilidad, correspondientes a las redes eléctricas, </w:t>
      </w:r>
      <w:proofErr w:type="spellStart"/>
      <w:r w:rsidRPr="002843F2">
        <w:rPr>
          <w:rFonts w:ascii="Arial" w:eastAsia="Arial" w:hAnsi="Arial" w:cs="Arial"/>
          <w:sz w:val="24"/>
          <w:szCs w:val="24"/>
        </w:rPr>
        <w:t>hidrosanitarias</w:t>
      </w:r>
      <w:proofErr w:type="spellEnd"/>
      <w:r w:rsidRPr="002843F2">
        <w:rPr>
          <w:rFonts w:ascii="Arial" w:eastAsia="Arial" w:hAnsi="Arial" w:cs="Arial"/>
          <w:sz w:val="24"/>
          <w:szCs w:val="24"/>
        </w:rPr>
        <w:t xml:space="preserve"> y en general, de los servicios públicos domiciliarios esenciales, y las exigencias que contemple la Ley 1796 de 2016 o las normas a las que hubiere lugar.</w:t>
      </w:r>
    </w:p>
    <w:p w14:paraId="7CF0BC9F"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A810930"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Para efectos de entrega del sistema de ascensores, se deberá seguir el procedimiento establecido en la presente Ley para la entrega de bienes comunes de uso y goce general.</w:t>
      </w:r>
    </w:p>
    <w:p w14:paraId="034A3FCC"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27E21E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Cuando los bienes privados consistan en áreas privadas libres, los bienes comunes de uso y goce general se entregarán a la persona o personas designadas por la asamblea general o en su defecto al administrador definitivo, cuando se haya terminado la enajenación de un número de bienes privados que represente por lo menos el sesenta por ciento (60%) de los coeficientes de copropiedad.</w:t>
      </w:r>
    </w:p>
    <w:p w14:paraId="4BE7FFA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E486F6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Los bienes comunes deben ser accesibles para las personas con discapacidad desde el momento de su entrega.</w:t>
      </w:r>
    </w:p>
    <w:p w14:paraId="5BE5CCC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9EDE7C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w:t>
      </w:r>
      <w:r w:rsidRPr="002843F2">
        <w:rPr>
          <w:rFonts w:ascii="Arial" w:eastAsia="Arial" w:hAnsi="Arial" w:cs="Arial"/>
          <w:sz w:val="24"/>
          <w:szCs w:val="24"/>
        </w:rPr>
        <w:t xml:space="preserve"> En los casos donde el constructor o propietario inicial tenga coeficientes de copropiedad al momento en el que la asamblea deba designar (s) persona(s) que deba recibir los bienes comunes, estos coeficientes no se contabilizarán para estos efectos legales.</w:t>
      </w:r>
    </w:p>
    <w:p w14:paraId="56E09B72"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1B8576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7FEE9D6"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14</w:t>
      </w:r>
      <w:r w:rsidRPr="002843F2">
        <w:rPr>
          <w:rFonts w:ascii="Arial" w:eastAsia="Arial" w:hAnsi="Arial" w:cs="Arial"/>
          <w:sz w:val="24"/>
          <w:szCs w:val="24"/>
        </w:rPr>
        <w:t>. Adiciónese el Artículo 24A a la Ley 675 de 2001, el cual quedará así:</w:t>
      </w:r>
    </w:p>
    <w:p w14:paraId="295D662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F259600"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24A°. Entrega de los bienes comunes de propiedades horizontales por etapas.</w:t>
      </w:r>
      <w:r w:rsidRPr="002843F2">
        <w:rPr>
          <w:rFonts w:ascii="Arial" w:eastAsia="Arial" w:hAnsi="Arial" w:cs="Arial"/>
          <w:sz w:val="24"/>
          <w:szCs w:val="24"/>
        </w:rPr>
        <w:t xml:space="preserve"> Cuando se trate de propiedades horizontales desarrolladas por </w:t>
      </w:r>
      <w:r w:rsidRPr="002843F2">
        <w:rPr>
          <w:rFonts w:ascii="Arial" w:eastAsia="Arial" w:hAnsi="Arial" w:cs="Arial"/>
          <w:sz w:val="24"/>
          <w:szCs w:val="24"/>
        </w:rPr>
        <w:lastRenderedPageBreak/>
        <w:t>etapas, la entrega de bienes comunes esenciales para el uso y goce de los bienes privados de la respectiva etapa, tales como los elementos estructurales, accesos, escaleras, espesores y puntos fijos, se efectúa de manera simultánea con la entrega de aquellos según las actas correspondientes.</w:t>
      </w:r>
    </w:p>
    <w:p w14:paraId="5FF86D0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587C205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cuanto concierne a los bienes comunes de uso y goce general, su entrega se hará cuando se haya terminado la construcción y enajenación de un número de bienes privados que represente por lo menos el sesenta por ciento (60%)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w:t>
      </w:r>
    </w:p>
    <w:p w14:paraId="2CF10E7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6C567F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el caso que el constructor o propietario inicial tenga coeficientes de copropiedad de la respectiva etapa, al momento en el que la asamblea deba designar la(s) persona(s) que deba recibir los bienes comunes, estos coeficientes no se contabilizarán para estos efectos legales.</w:t>
      </w:r>
    </w:p>
    <w:p w14:paraId="4E323C0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836D04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Para efectos de la entrega del sistema de ascensores se deberá seguir el procedimiento establecido en la presente Ley para la entrega de bienes comunes de uso y goce general.</w:t>
      </w:r>
    </w:p>
    <w:p w14:paraId="69E23DC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76864B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Los bienes comunes deben ser accesibles para las personas con discapacidad desde el momento de su entrega.</w:t>
      </w:r>
    </w:p>
    <w:p w14:paraId="6AED8D03"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36478A93"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719C0530"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15</w:t>
      </w:r>
      <w:r w:rsidRPr="002843F2">
        <w:rPr>
          <w:rFonts w:ascii="Arial" w:eastAsia="Arial" w:hAnsi="Arial" w:cs="Arial"/>
          <w:sz w:val="24"/>
          <w:szCs w:val="24"/>
        </w:rPr>
        <w:t>. Adiciónese el Artículo 24B a la Ley 675 de 2001, el cual quedará así:</w:t>
      </w:r>
    </w:p>
    <w:p w14:paraId="097FEFD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C209FB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24B°.</w:t>
      </w:r>
      <w:r w:rsidRPr="002843F2">
        <w:rPr>
          <w:rFonts w:ascii="Arial" w:eastAsia="Arial" w:hAnsi="Arial" w:cs="Arial"/>
          <w:sz w:val="24"/>
          <w:szCs w:val="24"/>
        </w:rPr>
        <w:t xml:space="preserve"> </w:t>
      </w:r>
      <w:r w:rsidRPr="002843F2">
        <w:rPr>
          <w:rFonts w:ascii="Arial" w:eastAsia="Arial" w:hAnsi="Arial" w:cs="Arial"/>
          <w:b/>
          <w:sz w:val="24"/>
          <w:szCs w:val="24"/>
        </w:rPr>
        <w:t>Entrega en concordancia con los planos aprobados.</w:t>
      </w:r>
      <w:r w:rsidRPr="002843F2">
        <w:rPr>
          <w:rFonts w:ascii="Arial" w:eastAsia="Arial" w:hAnsi="Arial" w:cs="Arial"/>
          <w:sz w:val="24"/>
          <w:szCs w:val="24"/>
        </w:rPr>
        <w:t xml:space="preserve"> Los bienes comunes deberán coincidir con lo señalado en los planos aprobados en la licencia, las modificaciones, prorrogas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 debidamente a los compradores y deberán ser aprobados las modificaciones por la entidad autorizada. Para tales efectos, cuando se realice un cambio en los planos aprobados inicialmente, se deberá informar a los compradores.</w:t>
      </w:r>
    </w:p>
    <w:p w14:paraId="5A9BE11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916C5E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Los planos de las propiedades horizontales deben prever que su infraestructura sea accesible física y comunicativamente para las personas con discapacidad.</w:t>
      </w:r>
    </w:p>
    <w:p w14:paraId="69B348F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E033D5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D54237D"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lastRenderedPageBreak/>
        <w:t>Artículo 16.</w:t>
      </w:r>
      <w:r w:rsidRPr="002843F2">
        <w:rPr>
          <w:rFonts w:ascii="Arial" w:eastAsia="Arial" w:hAnsi="Arial" w:cs="Arial"/>
          <w:sz w:val="24"/>
          <w:szCs w:val="24"/>
        </w:rPr>
        <w:t xml:space="preserve"> Adiciónese el Artículo 24C a la Ley 675 de 2001, el cual quedará así:</w:t>
      </w:r>
    </w:p>
    <w:p w14:paraId="1FE2752A"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DB57E6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24C°. Procedimiento en caso de renuencia a recibir o entregar los bienes comunes de uso y goce general.</w:t>
      </w:r>
      <w:r w:rsidRPr="002843F2">
        <w:rPr>
          <w:rFonts w:ascii="Arial" w:eastAsia="Arial" w:hAnsi="Arial" w:cs="Arial"/>
          <w:sz w:val="24"/>
          <w:szCs w:val="24"/>
        </w:rPr>
        <w:t xml:space="preserve"> En el caso en el cual la copropiedad y/o la persona designada para recibir los bienes comunes de uso y goce general, se niegue(n) a recibir dichos bienes o el propietario inicial a entregarlos, el propietario inicial o los copropietarios, una vez se hayan construido y enajenado un número de bienes privados que represente por lo menos el sesenta por ciento (60%) de los coeficientes de copropiedad. </w:t>
      </w:r>
    </w:p>
    <w:p w14:paraId="46BE634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0F4317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Se fijará una fecha y hora prudencial para la entrega de los bienes comunes; si en la fecha propuesta no es posible llevar a cabo la entrega de la totalidad de los bienes comunes generales se deberá convocar a una nueva diligencia de entrega, la cual podrá ser citada por el administrador definitivo o por el propietario inicial.</w:t>
      </w:r>
    </w:p>
    <w:p w14:paraId="0319F6A0"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617168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Si luego de tres (3) oportunidades la copropiedad o el propietario inicial se niega a comparecer a las diligencias convocadas y/o a recibir o entregar los bienes comunes, se deberá designar un perito con experiencia relacionada de por lo menos dos (2) años en temas de normas urbanísticas, propiedad horizontal, construcción y/o arquitectura, o a la entidad que otorgó la licencia quien verificará que las zonas comunes construidas a entregar se encuentren terminadas, correspondan con lo aprobado en la licencia de construcción y con lo incluido en la oferta comercial, y en consecuencia, certificara de forma clara bajo la gravedad de juramento si dichas áreas corresponden o no a lo licenciado y a lo ofrecido.</w:t>
      </w:r>
    </w:p>
    <w:p w14:paraId="0EC891B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F8BD5D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La entidad que otorgó la licencia o el perito realizará la verificación y en el evento de concluir que dichas áreas corresponden a lo licenciado y a lo ofrecido, certificara de forma clara bajo la gravedad de juramento dicha circunstancia. Esta certificación deberá protocolizarse ante notario público y con ella se entenderá efectuada la entrega de los bienes comunes generales para todos los efectos legales. De la certificación se deberá entregar copia al administrador definitivo y al propietario inicial.</w:t>
      </w:r>
    </w:p>
    <w:p w14:paraId="7296FB8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53B8DB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Si realizada la verificación, el perito designado establece que dichas áreas no corresponden a lo licenciado y a lo ofrecido y/o no son accesibles para las personas con discapacidad, requerirá al propietario inicial de forma escrita, notificándole los hallazgos de manera clara, con el fin que el propietario inicial se adecue a lo licenciando y ofrecido y/o las haga accesibles para las personas con discapacidad según sea el caso. De común acuerdo entre el perito y el propietario inicial, se fijará un término prudencial atendiendo a la naturaleza técnica y a la complejidad de las obras que deban ser realizadas. Dentro del término convenido, el propietario inicial realizará las adecuaciones requeridas.</w:t>
      </w:r>
    </w:p>
    <w:p w14:paraId="78B9212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13A271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lastRenderedPageBreak/>
        <w:t>Una vez realizada la adecuación por parte del propietario inicial, el perito certificará de forma clara bajo la gravedad de juramento dicha circunstancia. Esta certificación deberá protocolizarse ante notario, con ella se entenderá efectuada la entrega de los bienes comunes generales para todos los efectos legales. De la certificación se deberá entregar copia al administrador definitivo y al propietario inicial.</w:t>
      </w:r>
    </w:p>
    <w:p w14:paraId="5EFB823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1C03DF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todo caso la autoridad que otorgó la respectiva licencia en conjunto con la autoridad competente verificará durante la ejecución de la obra que la misma se desarrolle acorde a la licencia de construcción, plano y demás requisitos establecidos para la construcción de obra</w:t>
      </w:r>
    </w:p>
    <w:p w14:paraId="77171F53"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4D199C4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w:t>
      </w:r>
      <w:r w:rsidRPr="002843F2">
        <w:rPr>
          <w:rFonts w:ascii="Arial" w:eastAsia="Arial" w:hAnsi="Arial" w:cs="Arial"/>
          <w:sz w:val="24"/>
          <w:szCs w:val="24"/>
        </w:rPr>
        <w:t xml:space="preserve"> </w:t>
      </w:r>
      <w:r w:rsidRPr="002843F2">
        <w:rPr>
          <w:rFonts w:ascii="Arial" w:eastAsia="Arial" w:hAnsi="Arial" w:cs="Arial"/>
          <w:b/>
          <w:sz w:val="24"/>
          <w:szCs w:val="24"/>
        </w:rPr>
        <w:t>Procedimientos administrativos y judiciales</w:t>
      </w:r>
      <w:r w:rsidRPr="002843F2">
        <w:rPr>
          <w:rFonts w:ascii="Arial" w:eastAsia="Arial" w:hAnsi="Arial" w:cs="Arial"/>
          <w:sz w:val="24"/>
          <w:szCs w:val="24"/>
        </w:rPr>
        <w:t>. El procedimiento descrito previamente, se aplicará sin perjuicio que el administrador de la propiedad horizontal acuda ante las autoridades jurisdiccionales o administrativas correspondientes, dentro de los plazos que al efecto prevean las normas nacionales, con el fin de dar inicio a un proceso administrativo y/o judicial a través del cual se verifique si dichos bienes comunes presentan deficiencias constructivas. A su vez, los mismos podrán acudir a las entidades correspondientes encargadas de verificar el cumplimiento de las normas que regulan los derechos de los consumidores o a las instancias judiciales correspondientes si así lo determinan, dentro de los plazos que al efecto prevean las normas nacionales.</w:t>
      </w:r>
    </w:p>
    <w:p w14:paraId="6A8D23A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39D07D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A43BFD0"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17.</w:t>
      </w:r>
      <w:r w:rsidRPr="002843F2">
        <w:rPr>
          <w:rFonts w:ascii="Arial" w:eastAsia="Arial" w:hAnsi="Arial" w:cs="Arial"/>
          <w:sz w:val="24"/>
          <w:szCs w:val="24"/>
        </w:rPr>
        <w:t xml:space="preserve"> Adiciónese el Artículo 24D a la Ley 675 de 2001, el cual quedará así:</w:t>
      </w:r>
    </w:p>
    <w:p w14:paraId="14228B8C"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C502C7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24D°. Sanciones por el incumplimiento de los deberes de entrega de los bienes comunes por parte del propietario inicial.</w:t>
      </w:r>
      <w:r w:rsidRPr="002843F2">
        <w:rPr>
          <w:rFonts w:ascii="Arial" w:eastAsia="Arial" w:hAnsi="Arial" w:cs="Arial"/>
          <w:sz w:val="24"/>
          <w:szCs w:val="24"/>
        </w:rPr>
        <w:t xml:space="preserve"> El propietario inicial que incumpla con lo establecido en los artículos anteriores con relación a los bienes comunes, podrá ser objeto de sanción por parte de las Alcaldías Distritales,  Municipales o Locales y la Gobernación del Archipiélago de San Andrés Providencia y Santa Catalina, a través de sus representantes legales o a través de la entidad, dependencia o funcionario que se delegue, así como por parte de la Superintendencia de Industria y Comercio por las conductas que puedan configurar vulneraciones a las normas de protección a los consumidores contenidas en el Estatuto del Consumidor -Ley 1480 de 2011- o la que haga sus veces.</w:t>
      </w:r>
    </w:p>
    <w:p w14:paraId="7AC58F7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81DACB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5778BEB"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18</w:t>
      </w:r>
      <w:r w:rsidRPr="002843F2">
        <w:rPr>
          <w:rFonts w:ascii="Arial" w:eastAsia="Arial" w:hAnsi="Arial" w:cs="Arial"/>
          <w:sz w:val="24"/>
          <w:szCs w:val="24"/>
        </w:rPr>
        <w:t>. Adiciónese el Artículo 24E a la Ley 675 de 2001, el cual quedará así:</w:t>
      </w:r>
    </w:p>
    <w:p w14:paraId="063FB35B"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54D05CA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24E</w:t>
      </w:r>
      <w:r w:rsidRPr="002843F2">
        <w:rPr>
          <w:rFonts w:ascii="Arial" w:eastAsia="Arial" w:hAnsi="Arial" w:cs="Arial"/>
          <w:sz w:val="24"/>
          <w:szCs w:val="24"/>
        </w:rPr>
        <w:t xml:space="preserve">. </w:t>
      </w:r>
      <w:r w:rsidRPr="002843F2">
        <w:rPr>
          <w:rFonts w:ascii="Arial" w:eastAsia="Arial" w:hAnsi="Arial" w:cs="Arial"/>
          <w:b/>
          <w:sz w:val="24"/>
          <w:szCs w:val="24"/>
        </w:rPr>
        <w:t xml:space="preserve">Obligaciones de los propietarios respecto de los bienes comunes. </w:t>
      </w:r>
      <w:r w:rsidRPr="002843F2">
        <w:rPr>
          <w:rFonts w:ascii="Arial" w:eastAsia="Arial" w:hAnsi="Arial" w:cs="Arial"/>
          <w:sz w:val="24"/>
          <w:szCs w:val="24"/>
        </w:rPr>
        <w:t>En relación con los bienes comunes los propietarios de bienes privados o de dominio particular, tienen las siguientes obligaciones:</w:t>
      </w:r>
    </w:p>
    <w:p w14:paraId="587EA3F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0D662BC1" w14:textId="77777777" w:rsidR="002E19E4" w:rsidRPr="002843F2" w:rsidRDefault="002E19E4" w:rsidP="000E36E0">
      <w:pPr>
        <w:pStyle w:val="Prrafodelista"/>
        <w:numPr>
          <w:ilvl w:val="0"/>
          <w:numId w:val="67"/>
        </w:numPr>
        <w:tabs>
          <w:tab w:val="left" w:pos="3686"/>
        </w:tabs>
        <w:spacing w:after="0" w:line="240" w:lineRule="auto"/>
        <w:jc w:val="both"/>
        <w:rPr>
          <w:rFonts w:ascii="Arial" w:eastAsia="Arial" w:hAnsi="Arial" w:cs="Arial"/>
          <w:sz w:val="24"/>
          <w:szCs w:val="24"/>
        </w:rPr>
      </w:pPr>
      <w:r w:rsidRPr="002843F2">
        <w:rPr>
          <w:rFonts w:ascii="Arial" w:eastAsia="Arial" w:hAnsi="Arial" w:cs="Arial"/>
          <w:sz w:val="24"/>
          <w:szCs w:val="24"/>
        </w:rPr>
        <w:t>Usar adecuadamente los bienes y servicios comunes de la copropiedad.</w:t>
      </w:r>
    </w:p>
    <w:p w14:paraId="23A954D8" w14:textId="77777777" w:rsidR="002E19E4" w:rsidRPr="002843F2" w:rsidRDefault="002E19E4" w:rsidP="000E36E0">
      <w:pPr>
        <w:pStyle w:val="Prrafodelista"/>
        <w:numPr>
          <w:ilvl w:val="0"/>
          <w:numId w:val="67"/>
        </w:numPr>
        <w:tabs>
          <w:tab w:val="left" w:pos="3686"/>
        </w:tabs>
        <w:spacing w:after="0" w:line="240" w:lineRule="auto"/>
        <w:jc w:val="both"/>
        <w:rPr>
          <w:rFonts w:ascii="Arial" w:eastAsia="Arial" w:hAnsi="Arial" w:cs="Arial"/>
          <w:sz w:val="24"/>
          <w:szCs w:val="24"/>
        </w:rPr>
      </w:pPr>
      <w:r w:rsidRPr="002843F2">
        <w:rPr>
          <w:rFonts w:ascii="Arial" w:eastAsia="Arial" w:hAnsi="Arial" w:cs="Arial"/>
          <w:sz w:val="24"/>
          <w:szCs w:val="24"/>
        </w:rPr>
        <w:t>Usar correctamente y sin cambiar la destinación de los bienes comunes de uso exclusivo.</w:t>
      </w:r>
    </w:p>
    <w:p w14:paraId="3228B21E" w14:textId="77777777" w:rsidR="002E19E4" w:rsidRPr="002843F2" w:rsidRDefault="002E19E4" w:rsidP="000E36E0">
      <w:pPr>
        <w:pStyle w:val="Prrafodelista"/>
        <w:numPr>
          <w:ilvl w:val="0"/>
          <w:numId w:val="67"/>
        </w:numPr>
        <w:tabs>
          <w:tab w:val="left" w:pos="3686"/>
        </w:tabs>
        <w:spacing w:after="0" w:line="240" w:lineRule="auto"/>
        <w:jc w:val="both"/>
        <w:rPr>
          <w:rFonts w:ascii="Arial" w:eastAsia="Arial" w:hAnsi="Arial" w:cs="Arial"/>
          <w:sz w:val="24"/>
          <w:szCs w:val="24"/>
        </w:rPr>
      </w:pPr>
      <w:r w:rsidRPr="002843F2">
        <w:rPr>
          <w:rFonts w:ascii="Arial" w:eastAsia="Arial" w:hAnsi="Arial" w:cs="Arial"/>
          <w:sz w:val="24"/>
          <w:szCs w:val="24"/>
        </w:rPr>
        <w:t>Cumplir con el pago de las expensas comunes ordinarias y extraordinarias para el mantenimiento y conservación de los bienes y servicios comunes.</w:t>
      </w:r>
    </w:p>
    <w:p w14:paraId="5E4605F5" w14:textId="77777777" w:rsidR="002E19E4" w:rsidRPr="002843F2" w:rsidRDefault="002E19E4" w:rsidP="000E36E0">
      <w:pPr>
        <w:pStyle w:val="Prrafodelista"/>
        <w:numPr>
          <w:ilvl w:val="0"/>
          <w:numId w:val="67"/>
        </w:numPr>
        <w:tabs>
          <w:tab w:val="left" w:pos="3686"/>
        </w:tabs>
        <w:spacing w:after="0" w:line="240" w:lineRule="auto"/>
        <w:jc w:val="both"/>
        <w:rPr>
          <w:rFonts w:ascii="Arial" w:eastAsia="Arial" w:hAnsi="Arial" w:cs="Arial"/>
          <w:sz w:val="24"/>
          <w:szCs w:val="24"/>
        </w:rPr>
      </w:pPr>
      <w:r w:rsidRPr="002843F2">
        <w:rPr>
          <w:rFonts w:ascii="Arial" w:eastAsia="Arial" w:hAnsi="Arial" w:cs="Arial"/>
          <w:sz w:val="24"/>
          <w:szCs w:val="24"/>
        </w:rPr>
        <w:t>Cumplir con el recibo material de las áreas y bienes comunes a través del representante que sea elegido en asamblea o a través del administrador definitivo.</w:t>
      </w:r>
    </w:p>
    <w:p w14:paraId="3F5F78C5" w14:textId="7F1A655D" w:rsidR="002E19E4" w:rsidRPr="002843F2" w:rsidRDefault="002E19E4" w:rsidP="000E36E0">
      <w:pPr>
        <w:pStyle w:val="Prrafodelista"/>
        <w:numPr>
          <w:ilvl w:val="0"/>
          <w:numId w:val="67"/>
        </w:numPr>
        <w:tabs>
          <w:tab w:val="left" w:pos="3686"/>
        </w:tabs>
        <w:spacing w:after="0" w:line="240" w:lineRule="auto"/>
        <w:jc w:val="both"/>
        <w:rPr>
          <w:rFonts w:ascii="Arial" w:eastAsia="Arial" w:hAnsi="Arial" w:cs="Arial"/>
          <w:sz w:val="24"/>
          <w:szCs w:val="24"/>
        </w:rPr>
      </w:pPr>
      <w:r w:rsidRPr="002843F2">
        <w:rPr>
          <w:rFonts w:ascii="Arial" w:eastAsia="Arial" w:hAnsi="Arial" w:cs="Arial"/>
          <w:sz w:val="24"/>
          <w:szCs w:val="24"/>
        </w:rPr>
        <w:t xml:space="preserve">Cumplir con las normas de convivencia señaladas en el reglamento de propiedad horizontal, en el manual de convivencia y en el </w:t>
      </w:r>
      <w:r w:rsidR="00946A7C">
        <w:rPr>
          <w:rFonts w:ascii="Arial" w:eastAsia="Arial" w:hAnsi="Arial" w:cs="Arial"/>
          <w:sz w:val="24"/>
          <w:szCs w:val="24"/>
        </w:rPr>
        <w:t xml:space="preserve">Código Nacional de Seguridad y Convivencia Ciudadana </w:t>
      </w:r>
      <w:r w:rsidRPr="002843F2">
        <w:rPr>
          <w:rFonts w:ascii="Arial" w:eastAsia="Arial" w:hAnsi="Arial" w:cs="Arial"/>
          <w:sz w:val="24"/>
          <w:szCs w:val="24"/>
        </w:rPr>
        <w:t>contenido en la Ley 1801 de 2016 o en la norma que lo adicione, modifique o sustituya.</w:t>
      </w:r>
    </w:p>
    <w:p w14:paraId="4CA9059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 </w:t>
      </w:r>
    </w:p>
    <w:p w14:paraId="0B476A0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DBAC2DD"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19.</w:t>
      </w:r>
      <w:r w:rsidRPr="002843F2">
        <w:rPr>
          <w:rFonts w:ascii="Arial" w:eastAsia="Arial" w:hAnsi="Arial" w:cs="Arial"/>
          <w:sz w:val="24"/>
          <w:szCs w:val="24"/>
        </w:rPr>
        <w:t xml:space="preserve"> Modifíquese el Artículo 26° de la Ley 675 de 2001, el cual quedará así:</w:t>
      </w:r>
    </w:p>
    <w:p w14:paraId="10D286F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790235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26°. DETERMINACIÓN</w:t>
      </w:r>
      <w:r w:rsidRPr="002843F2">
        <w:rPr>
          <w:rFonts w:ascii="Arial" w:eastAsia="Arial" w:hAnsi="Arial" w:cs="Arial"/>
          <w:sz w:val="24"/>
          <w:szCs w:val="24"/>
        </w:rPr>
        <w:t xml:space="preserve">. Salvo lo dispuesto en la presente ley para casos </w:t>
      </w:r>
      <w:proofErr w:type="spellStart"/>
      <w:r w:rsidRPr="002843F2">
        <w:rPr>
          <w:rFonts w:ascii="Arial" w:eastAsia="Arial" w:hAnsi="Arial" w:cs="Arial"/>
          <w:sz w:val="24"/>
          <w:szCs w:val="24"/>
        </w:rPr>
        <w:t>especíﬁcos</w:t>
      </w:r>
      <w:proofErr w:type="spellEnd"/>
      <w:r w:rsidRPr="002843F2">
        <w:rPr>
          <w:rFonts w:ascii="Arial" w:eastAsia="Arial" w:hAnsi="Arial" w:cs="Arial"/>
          <w:sz w:val="24"/>
          <w:szCs w:val="24"/>
        </w:rPr>
        <w:t xml:space="preserve">, los </w:t>
      </w:r>
      <w:proofErr w:type="spellStart"/>
      <w:r w:rsidRPr="002843F2">
        <w:rPr>
          <w:rFonts w:ascii="Arial" w:eastAsia="Arial" w:hAnsi="Arial" w:cs="Arial"/>
          <w:sz w:val="24"/>
          <w:szCs w:val="24"/>
        </w:rPr>
        <w:t>coeﬁcientes</w:t>
      </w:r>
      <w:proofErr w:type="spellEnd"/>
      <w:r w:rsidRPr="002843F2">
        <w:rPr>
          <w:rFonts w:ascii="Arial" w:eastAsia="Arial" w:hAnsi="Arial" w:cs="Arial"/>
          <w:sz w:val="24"/>
          <w:szCs w:val="24"/>
        </w:rPr>
        <w:t xml:space="preserve"> de copropiedad se calcularán con base en el área privada construida de cada bien de dominio particular, con respecto al área total privada del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w:t>
      </w:r>
    </w:p>
    <w:p w14:paraId="6FA8C59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8B18EA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área privada libre se determinará de manera expresa en el reglamento de propiedad horizontal, en proporción al área privada construida, indicando los factores de ponderación utilizados.</w:t>
      </w:r>
    </w:p>
    <w:p w14:paraId="0EBB1B5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B150E6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En el caso de parcelaciones o lotes campestres, el </w:t>
      </w:r>
      <w:proofErr w:type="spellStart"/>
      <w:r w:rsidRPr="002843F2">
        <w:rPr>
          <w:rFonts w:ascii="Arial" w:eastAsia="Arial" w:hAnsi="Arial" w:cs="Arial"/>
          <w:sz w:val="24"/>
          <w:szCs w:val="24"/>
        </w:rPr>
        <w:t>coeﬁciente</w:t>
      </w:r>
      <w:proofErr w:type="spellEnd"/>
      <w:r w:rsidRPr="002843F2">
        <w:rPr>
          <w:rFonts w:ascii="Arial" w:eastAsia="Arial" w:hAnsi="Arial" w:cs="Arial"/>
          <w:sz w:val="24"/>
          <w:szCs w:val="24"/>
        </w:rPr>
        <w:t xml:space="preserve"> se calculará sobre el área total privada del lote, sin distingo del área privada cubierta.</w:t>
      </w:r>
    </w:p>
    <w:p w14:paraId="31D59267"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695E5A3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w:t>
      </w:r>
      <w:r w:rsidRPr="002843F2">
        <w:rPr>
          <w:rFonts w:ascii="Arial" w:eastAsia="Arial" w:hAnsi="Arial" w:cs="Arial"/>
          <w:sz w:val="24"/>
          <w:szCs w:val="24"/>
        </w:rPr>
        <w:t xml:space="preserve">. Para calcular el </w:t>
      </w:r>
      <w:proofErr w:type="spellStart"/>
      <w:r w:rsidRPr="002843F2">
        <w:rPr>
          <w:rFonts w:ascii="Arial" w:eastAsia="Arial" w:hAnsi="Arial" w:cs="Arial"/>
          <w:sz w:val="24"/>
          <w:szCs w:val="24"/>
        </w:rPr>
        <w:t>coeﬁciente</w:t>
      </w:r>
      <w:proofErr w:type="spellEnd"/>
      <w:r w:rsidRPr="002843F2">
        <w:rPr>
          <w:rFonts w:ascii="Arial" w:eastAsia="Arial" w:hAnsi="Arial" w:cs="Arial"/>
          <w:sz w:val="24"/>
          <w:szCs w:val="24"/>
        </w:rPr>
        <w:t xml:space="preserve"> de copropiedad de parqueaderos y depósitos, se podrán ponderar los factores de área privada y destinación.</w:t>
      </w:r>
    </w:p>
    <w:p w14:paraId="63B8309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C2E1D8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02F8EC0"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20.</w:t>
      </w:r>
      <w:r w:rsidRPr="002843F2">
        <w:rPr>
          <w:rFonts w:ascii="Arial" w:eastAsia="Arial" w:hAnsi="Arial" w:cs="Arial"/>
          <w:sz w:val="24"/>
          <w:szCs w:val="24"/>
        </w:rPr>
        <w:t xml:space="preserve"> Modifíquese el Artículo 28° de la Ley 675 de 2001, el cual quedará así:</w:t>
      </w:r>
    </w:p>
    <w:p w14:paraId="3B8412E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4D5CF6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28°. MODIFICACIÓN DE COEFICIENTES.</w:t>
      </w:r>
      <w:r w:rsidRPr="002843F2">
        <w:rPr>
          <w:rFonts w:ascii="Arial" w:eastAsia="Arial" w:hAnsi="Arial" w:cs="Arial"/>
          <w:sz w:val="24"/>
          <w:szCs w:val="24"/>
        </w:rPr>
        <w:t xml:space="preserve"> La asamblea general, con el voto favorable de un número plural de propietarios que representen al menos el setenta por ciento (70%) de los </w:t>
      </w:r>
      <w:proofErr w:type="spellStart"/>
      <w:r w:rsidRPr="002843F2">
        <w:rPr>
          <w:rFonts w:ascii="Arial" w:eastAsia="Arial" w:hAnsi="Arial" w:cs="Arial"/>
          <w:sz w:val="24"/>
          <w:szCs w:val="24"/>
        </w:rPr>
        <w:t>coeﬁcientes</w:t>
      </w:r>
      <w:proofErr w:type="spellEnd"/>
      <w:r w:rsidRPr="002843F2">
        <w:rPr>
          <w:rFonts w:ascii="Arial" w:eastAsia="Arial" w:hAnsi="Arial" w:cs="Arial"/>
          <w:sz w:val="24"/>
          <w:szCs w:val="24"/>
        </w:rPr>
        <w:t xml:space="preserve"> de copropiedad del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 podrá autorizar reformas al reglamento de propiedad horizontal relacionadas con </w:t>
      </w:r>
      <w:proofErr w:type="spellStart"/>
      <w:r w:rsidRPr="002843F2">
        <w:rPr>
          <w:rFonts w:ascii="Arial" w:eastAsia="Arial" w:hAnsi="Arial" w:cs="Arial"/>
          <w:sz w:val="24"/>
          <w:szCs w:val="24"/>
        </w:rPr>
        <w:t>modiﬁcación</w:t>
      </w:r>
      <w:proofErr w:type="spellEnd"/>
      <w:r w:rsidRPr="002843F2">
        <w:rPr>
          <w:rFonts w:ascii="Arial" w:eastAsia="Arial" w:hAnsi="Arial" w:cs="Arial"/>
          <w:sz w:val="24"/>
          <w:szCs w:val="24"/>
        </w:rPr>
        <w:t xml:space="preserve"> de los </w:t>
      </w:r>
      <w:proofErr w:type="spellStart"/>
      <w:r w:rsidRPr="002843F2">
        <w:rPr>
          <w:rFonts w:ascii="Arial" w:eastAsia="Arial" w:hAnsi="Arial" w:cs="Arial"/>
          <w:sz w:val="24"/>
          <w:szCs w:val="24"/>
        </w:rPr>
        <w:t>coeﬁcientes</w:t>
      </w:r>
      <w:proofErr w:type="spellEnd"/>
      <w:r w:rsidRPr="002843F2">
        <w:rPr>
          <w:rFonts w:ascii="Arial" w:eastAsia="Arial" w:hAnsi="Arial" w:cs="Arial"/>
          <w:sz w:val="24"/>
          <w:szCs w:val="24"/>
        </w:rPr>
        <w:t xml:space="preserve"> de propiedad horizontal, en los siguientes eventos:</w:t>
      </w:r>
    </w:p>
    <w:p w14:paraId="2982A67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43818D7" w14:textId="77777777" w:rsidR="002E19E4" w:rsidRPr="002843F2" w:rsidRDefault="002E19E4" w:rsidP="000E36E0">
      <w:pPr>
        <w:numPr>
          <w:ilvl w:val="0"/>
          <w:numId w:val="54"/>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Cuando en su cálculo se incurrió en errores aritméticos o no se tuvieron en cuenta los parámetros legales para su </w:t>
      </w:r>
      <w:proofErr w:type="spellStart"/>
      <w:r w:rsidRPr="002843F2">
        <w:rPr>
          <w:rFonts w:ascii="Arial" w:eastAsia="Arial" w:hAnsi="Arial" w:cs="Arial"/>
          <w:color w:val="000000"/>
          <w:sz w:val="24"/>
          <w:szCs w:val="24"/>
        </w:rPr>
        <w:t>ﬁjación</w:t>
      </w:r>
      <w:proofErr w:type="spellEnd"/>
      <w:r w:rsidRPr="002843F2">
        <w:rPr>
          <w:rFonts w:ascii="Arial" w:eastAsia="Arial" w:hAnsi="Arial" w:cs="Arial"/>
          <w:color w:val="000000"/>
          <w:sz w:val="24"/>
          <w:szCs w:val="24"/>
        </w:rPr>
        <w:t>.</w:t>
      </w:r>
    </w:p>
    <w:p w14:paraId="471DB723" w14:textId="77777777" w:rsidR="002E19E4" w:rsidRPr="002843F2" w:rsidRDefault="002E19E4" w:rsidP="000E36E0">
      <w:pPr>
        <w:numPr>
          <w:ilvl w:val="0"/>
          <w:numId w:val="54"/>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lastRenderedPageBreak/>
        <w:t xml:space="preserve">Cuando el </w:t>
      </w:r>
      <w:proofErr w:type="spellStart"/>
      <w:r w:rsidRPr="002843F2">
        <w:rPr>
          <w:rFonts w:ascii="Arial" w:eastAsia="Arial" w:hAnsi="Arial" w:cs="Arial"/>
          <w:color w:val="000000"/>
          <w:sz w:val="24"/>
          <w:szCs w:val="24"/>
        </w:rPr>
        <w:t>ediﬁcio</w:t>
      </w:r>
      <w:proofErr w:type="spellEnd"/>
      <w:r w:rsidRPr="002843F2">
        <w:rPr>
          <w:rFonts w:ascii="Arial" w:eastAsia="Arial" w:hAnsi="Arial" w:cs="Arial"/>
          <w:color w:val="000000"/>
          <w:sz w:val="24"/>
          <w:szCs w:val="24"/>
        </w:rPr>
        <w:t xml:space="preserve"> o conjunto se adicione con nuevos bienes privados, producto de la desafectación de un bien común o de la adquisición de otros bienes que se anexen al mismo.</w:t>
      </w:r>
    </w:p>
    <w:p w14:paraId="5A079B0C" w14:textId="77777777" w:rsidR="002E19E4" w:rsidRPr="002843F2" w:rsidRDefault="002E19E4" w:rsidP="000E36E0">
      <w:pPr>
        <w:numPr>
          <w:ilvl w:val="0"/>
          <w:numId w:val="54"/>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Cuando se extinga la propiedad horizontal en relación con una parte del </w:t>
      </w:r>
      <w:proofErr w:type="spellStart"/>
      <w:r w:rsidRPr="002843F2">
        <w:rPr>
          <w:rFonts w:ascii="Arial" w:eastAsia="Arial" w:hAnsi="Arial" w:cs="Arial"/>
          <w:color w:val="000000"/>
          <w:sz w:val="24"/>
          <w:szCs w:val="24"/>
        </w:rPr>
        <w:t>ediﬁcio</w:t>
      </w:r>
      <w:proofErr w:type="spellEnd"/>
      <w:r w:rsidRPr="002843F2">
        <w:rPr>
          <w:rFonts w:ascii="Arial" w:eastAsia="Arial" w:hAnsi="Arial" w:cs="Arial"/>
          <w:color w:val="000000"/>
          <w:sz w:val="24"/>
          <w:szCs w:val="24"/>
        </w:rPr>
        <w:t xml:space="preserve"> o conjunto.</w:t>
      </w:r>
    </w:p>
    <w:p w14:paraId="70D3F353" w14:textId="77777777" w:rsidR="002E19E4" w:rsidRPr="002843F2" w:rsidRDefault="002E19E4" w:rsidP="000E36E0">
      <w:pPr>
        <w:numPr>
          <w:ilvl w:val="0"/>
          <w:numId w:val="54"/>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Cuando se cambie la destinación de un bien de dominio particular, si ésta se tuvo en cuenta para la </w:t>
      </w:r>
      <w:proofErr w:type="spellStart"/>
      <w:r w:rsidRPr="002843F2">
        <w:rPr>
          <w:rFonts w:ascii="Arial" w:eastAsia="Arial" w:hAnsi="Arial" w:cs="Arial"/>
          <w:color w:val="000000"/>
          <w:sz w:val="24"/>
          <w:szCs w:val="24"/>
        </w:rPr>
        <w:t>ﬁjación</w:t>
      </w:r>
      <w:proofErr w:type="spellEnd"/>
      <w:r w:rsidRPr="002843F2">
        <w:rPr>
          <w:rFonts w:ascii="Arial" w:eastAsia="Arial" w:hAnsi="Arial" w:cs="Arial"/>
          <w:color w:val="000000"/>
          <w:sz w:val="24"/>
          <w:szCs w:val="24"/>
        </w:rPr>
        <w:t xml:space="preserve"> de los </w:t>
      </w:r>
      <w:proofErr w:type="spellStart"/>
      <w:r w:rsidRPr="002843F2">
        <w:rPr>
          <w:rFonts w:ascii="Arial" w:eastAsia="Arial" w:hAnsi="Arial" w:cs="Arial"/>
          <w:color w:val="000000"/>
          <w:sz w:val="24"/>
          <w:szCs w:val="24"/>
        </w:rPr>
        <w:t>coeﬁcientes</w:t>
      </w:r>
      <w:proofErr w:type="spellEnd"/>
      <w:r w:rsidRPr="002843F2">
        <w:rPr>
          <w:rFonts w:ascii="Arial" w:eastAsia="Arial" w:hAnsi="Arial" w:cs="Arial"/>
          <w:color w:val="000000"/>
          <w:sz w:val="24"/>
          <w:szCs w:val="24"/>
        </w:rPr>
        <w:t xml:space="preserve"> de copropiedad.</w:t>
      </w:r>
    </w:p>
    <w:p w14:paraId="0E2A9A70" w14:textId="77777777" w:rsidR="002E19E4" w:rsidRPr="002843F2" w:rsidRDefault="002E19E4" w:rsidP="000E36E0">
      <w:pPr>
        <w:numPr>
          <w:ilvl w:val="0"/>
          <w:numId w:val="54"/>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Cuando, previa aprobación de la Asamblea General de Copropietarios y cumplimiento de las normas urbanísticas aplicables se aumente el área construida de un bien privado.</w:t>
      </w:r>
    </w:p>
    <w:p w14:paraId="137361BA"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4C78E866"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55786400"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21</w:t>
      </w:r>
      <w:r w:rsidRPr="002843F2">
        <w:rPr>
          <w:rFonts w:ascii="Arial" w:eastAsia="Arial" w:hAnsi="Arial" w:cs="Arial"/>
          <w:sz w:val="24"/>
          <w:szCs w:val="24"/>
        </w:rPr>
        <w:t>. Modifíquese el Artículo 29 de la Ley 675 de 2001, el cual quedará así:</w:t>
      </w:r>
    </w:p>
    <w:p w14:paraId="06A130C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0D87DB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29°. Participación en las expensas comunes.</w:t>
      </w:r>
      <w:r w:rsidRPr="002843F2">
        <w:rPr>
          <w:rFonts w:ascii="Arial" w:eastAsia="Arial" w:hAnsi="Arial" w:cs="Arial"/>
          <w:sz w:val="24"/>
          <w:szCs w:val="24"/>
        </w:rPr>
        <w:t xml:space="preserve"> Los propietarios de los bienes privados de un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 estarán obligados a contribuir al pago de las expensas necesarias causadas por la administración y para la prestación de servicios comunes esenciales para la existencia, seguridad y conservación de los bienes comunes, de acuerdo con el reglamento de propiedad horizontal.</w:t>
      </w:r>
    </w:p>
    <w:p w14:paraId="3C5C676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FF850B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Para efecto de las expensas comunes ordinarias y/o extraordinarias,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w:t>
      </w:r>
    </w:p>
    <w:p w14:paraId="343D0B9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4F37A6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la escritura de transferencia de dominio de un bien inmueble sometido a propiedad horizontal, el notario exigirá paz y salvo de las contribuciones a las expensas comunes expedido por el Representante Legal de la copropiedad. Lo mismo sucederá con la primera escritura de la constructora al primer comprador.</w:t>
      </w:r>
    </w:p>
    <w:p w14:paraId="2BAB784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C31A10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caso de no contarse con el paz y salvo, se dejará constancia en la escritura de tal circunstancia, de la respectiva solicitud presentada al administrador de la copropiedad y de la solidaridad del nuevo propietario por las deudas que existan con la copropiedad.</w:t>
      </w:r>
    </w:p>
    <w:p w14:paraId="46FC02C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D02855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1º</w:t>
      </w:r>
      <w:r w:rsidRPr="002843F2">
        <w:rPr>
          <w:rFonts w:ascii="Arial" w:eastAsia="Arial" w:hAnsi="Arial" w:cs="Arial"/>
          <w:sz w:val="24"/>
          <w:szCs w:val="24"/>
        </w:rPr>
        <w:t>.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14:paraId="74C27C00"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41BEF9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lastRenderedPageBreak/>
        <w:t>Parágrafo 2º.</w:t>
      </w:r>
      <w:r w:rsidRPr="002843F2">
        <w:rPr>
          <w:rFonts w:ascii="Arial" w:eastAsia="Arial" w:hAnsi="Arial" w:cs="Arial"/>
          <w:sz w:val="24"/>
          <w:szCs w:val="24"/>
        </w:rPr>
        <w:t xml:space="preserve"> La obligación de contribuir oportunamente con las expensas comunes del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 se aplica aun cuando un propietario no ocupe su bien privado, o no haga uso efectivo de un determinado bien o servicio común.</w:t>
      </w:r>
    </w:p>
    <w:p w14:paraId="1EC2EA0B"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3699635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3º.</w:t>
      </w:r>
      <w:r w:rsidRPr="002843F2">
        <w:rPr>
          <w:rFonts w:ascii="Arial" w:eastAsia="Arial" w:hAnsi="Arial" w:cs="Arial"/>
          <w:sz w:val="24"/>
          <w:szCs w:val="24"/>
        </w:rPr>
        <w:t xml:space="preserve"> En las Propiedades Horizontales residenciales y de </w:t>
      </w:r>
      <w:proofErr w:type="spellStart"/>
      <w:r w:rsidRPr="002843F2">
        <w:rPr>
          <w:rFonts w:ascii="Arial" w:eastAsia="Arial" w:hAnsi="Arial" w:cs="Arial"/>
          <w:sz w:val="24"/>
          <w:szCs w:val="24"/>
        </w:rPr>
        <w:t>oﬁcinas</w:t>
      </w:r>
      <w:proofErr w:type="spellEnd"/>
      <w:r w:rsidRPr="002843F2">
        <w:rPr>
          <w:rFonts w:ascii="Arial" w:eastAsia="Arial" w:hAnsi="Arial" w:cs="Arial"/>
          <w:sz w:val="24"/>
          <w:szCs w:val="24"/>
        </w:rPr>
        <w:t>, los propietarios de bienes de dominio particular ubicados en el primer piso no estarán obligados a contribuir al mantenimiento, reparación y reposición de ascensores, cuando para acceder a su parqueadero, depósito, a otros bienes de uso privado, o a bienes comunes de uso y goce general, no exista servicio de ascensor. Esta disposición será aplicable a otras copropiedades, cuando así lo prevea el reglamento de propiedad horizontal correspondiente.</w:t>
      </w:r>
    </w:p>
    <w:p w14:paraId="3584D50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3EE226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4</w:t>
      </w:r>
      <w:r w:rsidRPr="002843F2">
        <w:rPr>
          <w:rFonts w:ascii="Arial" w:eastAsia="Arial" w:hAnsi="Arial" w:cs="Arial"/>
          <w:sz w:val="24"/>
          <w:szCs w:val="24"/>
        </w:rPr>
        <w:t xml:space="preserve">. El propietario inicial participará en el pago de las expensas comunes desde el momento en que el proyecto quede adherido al reglamento de Propiedad Horizontal y se haya entregado por lo menos un inmueble al nuevo propietario, dicho pago se realizará por todas las unidades que estén integradas al Reglamento de Propiedad Horizontal. De lo anterior el propietario inicial tendrá que dejar constancia al momento de suscribir la escritura de venta del inmueble, basado en el presupuesto elaborado para tal </w:t>
      </w:r>
      <w:proofErr w:type="spellStart"/>
      <w:r w:rsidRPr="002843F2">
        <w:rPr>
          <w:rFonts w:ascii="Arial" w:eastAsia="Arial" w:hAnsi="Arial" w:cs="Arial"/>
          <w:sz w:val="24"/>
          <w:szCs w:val="24"/>
        </w:rPr>
        <w:t>ﬁn</w:t>
      </w:r>
      <w:proofErr w:type="spellEnd"/>
      <w:r w:rsidRPr="002843F2">
        <w:rPr>
          <w:rFonts w:ascii="Arial" w:eastAsia="Arial" w:hAnsi="Arial" w:cs="Arial"/>
          <w:sz w:val="24"/>
          <w:szCs w:val="24"/>
        </w:rPr>
        <w:t>.</w:t>
      </w:r>
    </w:p>
    <w:p w14:paraId="21AA7242"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22EE013B"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1FB1F134"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22.</w:t>
      </w:r>
      <w:r w:rsidRPr="002843F2">
        <w:rPr>
          <w:rFonts w:ascii="Arial" w:eastAsia="Arial" w:hAnsi="Arial" w:cs="Arial"/>
          <w:sz w:val="24"/>
          <w:szCs w:val="24"/>
        </w:rPr>
        <w:t xml:space="preserve"> Modifíquese el Artículo 30 de la Ley 675 de 2001, el cual quedará así:</w:t>
      </w:r>
    </w:p>
    <w:p w14:paraId="087F1749"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0EACF243"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30°. INCUMPLIMIENTO EN EL PAGO DE EXPENSAS</w:t>
      </w:r>
      <w:r w:rsidRPr="002843F2">
        <w:rPr>
          <w:rFonts w:ascii="Arial" w:eastAsia="Arial" w:hAnsi="Arial" w:cs="Arial"/>
          <w:sz w:val="24"/>
          <w:szCs w:val="24"/>
        </w:rPr>
        <w:t xml:space="preserve">. El retardo en el cumplimiento del pago de expensas causará intereses de mora, equivalentes a una y media veces el interés bancario corriente, </w:t>
      </w:r>
      <w:proofErr w:type="spellStart"/>
      <w:r w:rsidRPr="002843F2">
        <w:rPr>
          <w:rFonts w:ascii="Arial" w:eastAsia="Arial" w:hAnsi="Arial" w:cs="Arial"/>
          <w:sz w:val="24"/>
          <w:szCs w:val="24"/>
        </w:rPr>
        <w:t>certiﬁcado</w:t>
      </w:r>
      <w:proofErr w:type="spellEnd"/>
      <w:r w:rsidRPr="002843F2">
        <w:rPr>
          <w:rFonts w:ascii="Arial" w:eastAsia="Arial" w:hAnsi="Arial" w:cs="Arial"/>
          <w:sz w:val="24"/>
          <w:szCs w:val="24"/>
        </w:rPr>
        <w:t xml:space="preserve"> por la Superintendencia Financiera de Colombia, sin perjuicio de que la asamblea general, con quórum que señale el reglamento de propiedad horizontal, establezca un interés inferior o la condonación de los mismos, así como la aprobación del pago de las expensas comunes en especie.</w:t>
      </w:r>
    </w:p>
    <w:p w14:paraId="1BD6A44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469B4A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Mientras subsista este incumplimiento, tal situación podrá publicarse en el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 El acta de la asamblea incluirá los propietarios que se encuentren en mora.</w:t>
      </w:r>
    </w:p>
    <w:p w14:paraId="36452C1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6BA112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w:t>
      </w:r>
      <w:r w:rsidRPr="002843F2">
        <w:rPr>
          <w:rFonts w:ascii="Arial" w:eastAsia="Arial" w:hAnsi="Arial" w:cs="Arial"/>
          <w:sz w:val="24"/>
          <w:szCs w:val="24"/>
        </w:rPr>
        <w:t xml:space="preserve"> La publicación referida en el presente artículo solo podrá hacerse en observancia a las políticas de protección de datos personales. </w:t>
      </w:r>
    </w:p>
    <w:p w14:paraId="7B30DCF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C9A84E5"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6EE8F478"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23</w:t>
      </w:r>
      <w:r w:rsidRPr="002843F2">
        <w:rPr>
          <w:rFonts w:ascii="Arial" w:eastAsia="Arial" w:hAnsi="Arial" w:cs="Arial"/>
          <w:sz w:val="24"/>
          <w:szCs w:val="24"/>
        </w:rPr>
        <w:t>. Modifíquese el Artículo 33 de la Ley 675 de 2001, el cual quedará así:</w:t>
      </w:r>
    </w:p>
    <w:p w14:paraId="79F79108"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2983E06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33°.</w:t>
      </w:r>
      <w:r w:rsidRPr="002843F2">
        <w:rPr>
          <w:rFonts w:ascii="Arial" w:eastAsia="Arial" w:hAnsi="Arial" w:cs="Arial"/>
          <w:sz w:val="24"/>
          <w:szCs w:val="24"/>
        </w:rPr>
        <w:t xml:space="preserve"> </w:t>
      </w:r>
      <w:r w:rsidRPr="002843F2">
        <w:rPr>
          <w:rFonts w:ascii="Arial" w:eastAsia="Arial" w:hAnsi="Arial" w:cs="Arial"/>
          <w:b/>
          <w:sz w:val="24"/>
          <w:szCs w:val="24"/>
        </w:rPr>
        <w:t>NATURALEZA Y CARACTERÍSTICAS.</w:t>
      </w:r>
      <w:r w:rsidRPr="002843F2">
        <w:rPr>
          <w:rFonts w:ascii="Arial" w:eastAsia="Arial" w:hAnsi="Arial" w:cs="Arial"/>
          <w:sz w:val="24"/>
          <w:szCs w:val="24"/>
        </w:rPr>
        <w:t xml:space="preserve"> La persona jurídica originada    en la constitución de la propiedad horizontal es de naturaleza civil, sin ánimo de lucro. Su denominación corresponderá a la del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 y su domicilio será el municipio o distrito donde este se localiza y tendrá la calidad </w:t>
      </w:r>
      <w:r w:rsidRPr="002843F2">
        <w:rPr>
          <w:rFonts w:ascii="Arial" w:eastAsia="Arial" w:hAnsi="Arial" w:cs="Arial"/>
          <w:sz w:val="24"/>
          <w:szCs w:val="24"/>
        </w:rPr>
        <w:lastRenderedPageBreak/>
        <w:t>de no contribuyente de impuestos nacionales, así como del impuesto de industria y comercio, en relación con las actividades propias de su objeto social, de conformidad con lo establecido en el Artículo 195 del Decreto 1333 de 1986.</w:t>
      </w:r>
    </w:p>
    <w:p w14:paraId="4344E36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4D4B64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La destinación de algunos bienes que produzcan renta para sufragar expensas comunes, no desvirtúa la calidad de persona jurídica sin ánimo de lucro.</w:t>
      </w:r>
    </w:p>
    <w:p w14:paraId="2F6226D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379373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xml:space="preserve"> Para efectos de reformas en el reglamento de Propiedad Horizontal solo se deberá cancelar los costos correspondientes a un acto único sin cuantía, sin importar la cantidad de unidades privadas que componen la copropiedad.</w:t>
      </w:r>
    </w:p>
    <w:p w14:paraId="3C48E1E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530FEE8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53DA78D"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24°.</w:t>
      </w:r>
      <w:r w:rsidRPr="002843F2">
        <w:rPr>
          <w:rFonts w:ascii="Arial" w:eastAsia="Arial" w:hAnsi="Arial" w:cs="Arial"/>
          <w:sz w:val="24"/>
          <w:szCs w:val="24"/>
        </w:rPr>
        <w:t xml:space="preserve"> Modifíquese el Artículo 39 de la Ley 675 de 2001, el cual quedará así:</w:t>
      </w:r>
    </w:p>
    <w:p w14:paraId="49519A2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A937A0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39°. Reuniones.</w:t>
      </w:r>
      <w:r w:rsidRPr="002843F2">
        <w:rPr>
          <w:rFonts w:ascii="Arial" w:eastAsia="Arial" w:hAnsi="Arial" w:cs="Arial"/>
          <w:sz w:val="24"/>
          <w:szCs w:val="24"/>
        </w:rPr>
        <w:t xml:space="preserve"> La Asamblea General se reunirá ordinariamente por lo menos una vez al año, en la fecha señalada en el reglamento de propiedad horizontal y, en silencio de este, dentro de los tres (3) meses siguientes al vencimiento de cada período presupuestal, se podrán desarrollar de manera virtual,  presencial, mixta o por cualquier medio telemático; con el </w:t>
      </w:r>
      <w:proofErr w:type="spellStart"/>
      <w:r w:rsidRPr="002843F2">
        <w:rPr>
          <w:rFonts w:ascii="Arial" w:eastAsia="Arial" w:hAnsi="Arial" w:cs="Arial"/>
          <w:sz w:val="24"/>
          <w:szCs w:val="24"/>
        </w:rPr>
        <w:t>ﬁn</w:t>
      </w:r>
      <w:proofErr w:type="spellEnd"/>
      <w:r w:rsidRPr="002843F2">
        <w:rPr>
          <w:rFonts w:ascii="Arial" w:eastAsia="Arial" w:hAnsi="Arial" w:cs="Arial"/>
          <w:sz w:val="24"/>
          <w:szCs w:val="24"/>
        </w:rPr>
        <w:t xml:space="preserve"> de examinar la situación general de la persona jurídica, efectuar los nombramientos cuya elección le corresponda, considerar y aprobar las cuentas del último ejercicio y presupuesto para el siguiente año. La convocatoria la efectuará el administrador, con una antelación no inferior a quince (15) días calendario.</w:t>
      </w:r>
    </w:p>
    <w:p w14:paraId="66BDFAD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14C29A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Se reunirá en forma extraordinaria cuando las necesidades imprevistas o urgentes del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 así lo ameriten, por convocatoria del administrador, del consejo de administración, del Revisor Fiscal o de un número plural de propietarios de bienes privados que representen por lo menos, la quinta parte de los </w:t>
      </w:r>
      <w:proofErr w:type="spellStart"/>
      <w:r w:rsidRPr="002843F2">
        <w:rPr>
          <w:rFonts w:ascii="Arial" w:eastAsia="Arial" w:hAnsi="Arial" w:cs="Arial"/>
          <w:sz w:val="24"/>
          <w:szCs w:val="24"/>
        </w:rPr>
        <w:t>coeﬁcientes</w:t>
      </w:r>
      <w:proofErr w:type="spellEnd"/>
      <w:r w:rsidRPr="002843F2">
        <w:rPr>
          <w:rFonts w:ascii="Arial" w:eastAsia="Arial" w:hAnsi="Arial" w:cs="Arial"/>
          <w:sz w:val="24"/>
          <w:szCs w:val="24"/>
        </w:rPr>
        <w:t xml:space="preserve"> de copropiedad. Se enviará la convocatoria con antelación prevista en el reglamento y en silencio de este será un término no inferior a 5 días calendario.</w:t>
      </w:r>
    </w:p>
    <w:p w14:paraId="01E78E1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B42E3B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 xml:space="preserve">Parágrafo 1º. </w:t>
      </w:r>
      <w:r w:rsidRPr="002843F2">
        <w:rPr>
          <w:rFonts w:ascii="Arial" w:eastAsia="Arial" w:hAnsi="Arial" w:cs="Arial"/>
          <w:sz w:val="24"/>
          <w:szCs w:val="24"/>
        </w:rPr>
        <w:t>Toda convocatoria se hará mediante comunicación enviada a cada uno de los propietarios de los bienes de dominio particular de la propiedad horizontal, a la última dirección registrada por los mismos. Tratándose de asamblea extraordinaria y decisiones por comunicación escrita, en el aviso se insertará el orden del día y en la misma no se podrán tomar decisiones sobre temas no previstos en este.</w:t>
      </w:r>
    </w:p>
    <w:p w14:paraId="4025E74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09256CF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xml:space="preserve"> Tratándose de asambleas ordinarias deberá anexarse la información administrativa y </w:t>
      </w:r>
      <w:proofErr w:type="spellStart"/>
      <w:r w:rsidRPr="002843F2">
        <w:rPr>
          <w:rFonts w:ascii="Arial" w:eastAsia="Arial" w:hAnsi="Arial" w:cs="Arial"/>
          <w:sz w:val="24"/>
          <w:szCs w:val="24"/>
        </w:rPr>
        <w:t>ﬁnanciera</w:t>
      </w:r>
      <w:proofErr w:type="spellEnd"/>
      <w:r w:rsidRPr="002843F2">
        <w:rPr>
          <w:rFonts w:ascii="Arial" w:eastAsia="Arial" w:hAnsi="Arial" w:cs="Arial"/>
          <w:sz w:val="24"/>
          <w:szCs w:val="24"/>
        </w:rPr>
        <w:t xml:space="preserve"> de conformidad con las disposiciones legales vigentes y la ejecución presupuestal pertinente.</w:t>
      </w:r>
    </w:p>
    <w:p w14:paraId="7BD172E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D32E75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lastRenderedPageBreak/>
        <w:t>Parágrafo 3</w:t>
      </w:r>
      <w:r w:rsidRPr="002843F2">
        <w:rPr>
          <w:rFonts w:ascii="Arial" w:eastAsia="Arial" w:hAnsi="Arial" w:cs="Arial"/>
          <w:sz w:val="24"/>
          <w:szCs w:val="24"/>
        </w:rPr>
        <w:t xml:space="preserve">. Cuando la convocatoria sea efectuada por la quinta parte de los propietarios o el revisor </w:t>
      </w:r>
      <w:proofErr w:type="spellStart"/>
      <w:r w:rsidRPr="002843F2">
        <w:rPr>
          <w:rFonts w:ascii="Arial" w:eastAsia="Arial" w:hAnsi="Arial" w:cs="Arial"/>
          <w:sz w:val="24"/>
          <w:szCs w:val="24"/>
        </w:rPr>
        <w:t>ﬁscal</w:t>
      </w:r>
      <w:proofErr w:type="spellEnd"/>
      <w:r w:rsidRPr="002843F2">
        <w:rPr>
          <w:rFonts w:ascii="Arial" w:eastAsia="Arial" w:hAnsi="Arial" w:cs="Arial"/>
          <w:sz w:val="24"/>
          <w:szCs w:val="24"/>
        </w:rPr>
        <w:t>, el administrador deberá facilitar su publicación, en su defecto los convocantes podrán remitir a las unidades privadas de la propiedad horizontal y publicarlas en lugares visibles de la copropiedad.</w:t>
      </w:r>
    </w:p>
    <w:p w14:paraId="14E17DD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9A4C83E"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1A2BC07"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25.</w:t>
      </w:r>
      <w:r w:rsidRPr="002843F2">
        <w:rPr>
          <w:rFonts w:ascii="Arial" w:eastAsia="Arial" w:hAnsi="Arial" w:cs="Arial"/>
          <w:sz w:val="24"/>
          <w:szCs w:val="24"/>
        </w:rPr>
        <w:t xml:space="preserve"> Modifíquese el Artículo 40 de la Ley 675 de 2001, el cual quedará así</w:t>
      </w:r>
    </w:p>
    <w:p w14:paraId="4B1439A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1F47EB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40. REUNIONES POR DERECHO PROPIO</w:t>
      </w:r>
      <w:r w:rsidRPr="002843F2">
        <w:rPr>
          <w:rFonts w:ascii="Arial" w:eastAsia="Arial" w:hAnsi="Arial" w:cs="Arial"/>
          <w:sz w:val="24"/>
          <w:szCs w:val="24"/>
        </w:rPr>
        <w:t xml:space="preserve">. Si no fuere convocada la asamblea se reunirá en forma ordinaria, por derecho propio el primer día hábil del cuarto mes siguiente al vencimiento de cada período presupuestal, en el lugar y hora que se indique en el reglamento, o en su defecto, en las instalaciones del </w:t>
      </w:r>
      <w:proofErr w:type="spellStart"/>
      <w:r w:rsidRPr="002843F2">
        <w:rPr>
          <w:rFonts w:ascii="Arial" w:eastAsia="Arial" w:hAnsi="Arial" w:cs="Arial"/>
          <w:sz w:val="24"/>
          <w:szCs w:val="24"/>
        </w:rPr>
        <w:t>ediﬁcio</w:t>
      </w:r>
      <w:proofErr w:type="spellEnd"/>
      <w:r w:rsidRPr="002843F2">
        <w:rPr>
          <w:rFonts w:ascii="Arial" w:eastAsia="Arial" w:hAnsi="Arial" w:cs="Arial"/>
          <w:sz w:val="24"/>
          <w:szCs w:val="24"/>
        </w:rPr>
        <w:t xml:space="preserve"> o conjunto a los ocho pasados meridianos (8:00 p. m.) Esta Asamblea deberá contar con el quórum establecido en el Artículo 45 de la ley 675 de 2001.</w:t>
      </w:r>
    </w:p>
    <w:p w14:paraId="7BAE953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39F2B2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Será igualmente válida la reunión que se haga en cualquier día, hora o lugar sin previa convocatoria, cuando los participantes representen la totalidad de los </w:t>
      </w:r>
      <w:proofErr w:type="spellStart"/>
      <w:r w:rsidRPr="002843F2">
        <w:rPr>
          <w:rFonts w:ascii="Arial" w:eastAsia="Arial" w:hAnsi="Arial" w:cs="Arial"/>
          <w:sz w:val="24"/>
          <w:szCs w:val="24"/>
        </w:rPr>
        <w:t>coeﬁcientes</w:t>
      </w:r>
      <w:proofErr w:type="spellEnd"/>
      <w:r w:rsidRPr="002843F2">
        <w:rPr>
          <w:rFonts w:ascii="Arial" w:eastAsia="Arial" w:hAnsi="Arial" w:cs="Arial"/>
          <w:sz w:val="24"/>
          <w:szCs w:val="24"/>
        </w:rPr>
        <w:t xml:space="preserve"> de la copropiedad, sin perjuicio de lo previsto en la presente ley para efectos de mayorías </w:t>
      </w:r>
      <w:proofErr w:type="spellStart"/>
      <w:r w:rsidRPr="002843F2">
        <w:rPr>
          <w:rFonts w:ascii="Arial" w:eastAsia="Arial" w:hAnsi="Arial" w:cs="Arial"/>
          <w:sz w:val="24"/>
          <w:szCs w:val="24"/>
        </w:rPr>
        <w:t>caliﬁcadas</w:t>
      </w:r>
      <w:proofErr w:type="spellEnd"/>
      <w:r w:rsidRPr="002843F2">
        <w:rPr>
          <w:rFonts w:ascii="Arial" w:eastAsia="Arial" w:hAnsi="Arial" w:cs="Arial"/>
          <w:sz w:val="24"/>
          <w:szCs w:val="24"/>
        </w:rPr>
        <w:t>.</w:t>
      </w:r>
    </w:p>
    <w:p w14:paraId="3C48799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36CCB9A"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FCBAC8F"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26.</w:t>
      </w:r>
      <w:r w:rsidRPr="002843F2">
        <w:rPr>
          <w:rFonts w:ascii="Arial" w:eastAsia="Arial" w:hAnsi="Arial" w:cs="Arial"/>
          <w:sz w:val="24"/>
          <w:szCs w:val="24"/>
        </w:rPr>
        <w:t xml:space="preserve"> Modifíquese el Artículo 42 de la Ley 675 de 2001, el cual quedará así:</w:t>
      </w:r>
    </w:p>
    <w:p w14:paraId="03A7CD15"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57735E0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42°.</w:t>
      </w:r>
      <w:r w:rsidRPr="002843F2">
        <w:rPr>
          <w:rFonts w:ascii="Arial" w:eastAsia="Arial" w:hAnsi="Arial" w:cs="Arial"/>
          <w:sz w:val="24"/>
          <w:szCs w:val="24"/>
        </w:rPr>
        <w:t xml:space="preserve"> </w:t>
      </w:r>
      <w:r w:rsidRPr="002843F2">
        <w:rPr>
          <w:rFonts w:ascii="Arial" w:eastAsia="Arial" w:hAnsi="Arial" w:cs="Arial"/>
          <w:b/>
          <w:sz w:val="24"/>
          <w:szCs w:val="24"/>
        </w:rPr>
        <w:t>Reuniones no presenciales</w:t>
      </w:r>
      <w:r w:rsidRPr="002843F2">
        <w:rPr>
          <w:rFonts w:ascii="Arial" w:eastAsia="Arial" w:hAnsi="Arial" w:cs="Arial"/>
          <w:sz w:val="24"/>
          <w:szCs w:val="24"/>
        </w:rPr>
        <w:t>. Los copropietarios o delegados podrán realizar reuniones por medios telemáticos, siempre y cuando se garantice la comunicación simultánea o sucesiva y su permanencia para deliberar y decidir de conformidad con el quórum requerido para el respectivo caso.</w:t>
      </w:r>
    </w:p>
    <w:p w14:paraId="7FEAB2E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9DEB7B0"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w:t>
      </w:r>
      <w:r w:rsidRPr="002843F2">
        <w:rPr>
          <w:rFonts w:ascii="Arial" w:eastAsia="Arial" w:hAnsi="Arial" w:cs="Arial"/>
          <w:sz w:val="24"/>
          <w:szCs w:val="24"/>
        </w:rPr>
        <w:t xml:space="preserve"> Para acreditar la validez de una reunión no presencial deberá quedar prueba inequívoca, en medios telemáticos que garanticen su seguridad, en la que sea claro el nombre del propietario o representante que emite la comunicación, la fecha y hora del contenido de la misma, así como las decisiones y la correspondiente copia de la notificación de la convocatoria efectuada a los copropietarios.</w:t>
      </w:r>
    </w:p>
    <w:p w14:paraId="2039BE5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248F769"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4485A20"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27.</w:t>
      </w:r>
      <w:r w:rsidRPr="002843F2">
        <w:rPr>
          <w:rFonts w:ascii="Arial" w:eastAsia="Arial" w:hAnsi="Arial" w:cs="Arial"/>
          <w:sz w:val="24"/>
          <w:szCs w:val="24"/>
        </w:rPr>
        <w:t xml:space="preserve"> Modifíquese el Artículo 44 de la Ley 675 de 2001, el cual quedará así:</w:t>
      </w:r>
    </w:p>
    <w:p w14:paraId="06B65572"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1BF8A566" w14:textId="77777777" w:rsidR="002E19E4" w:rsidRPr="002843F2" w:rsidRDefault="002E19E4" w:rsidP="002E19E4">
      <w:pPr>
        <w:tabs>
          <w:tab w:val="left" w:pos="3686"/>
        </w:tabs>
        <w:spacing w:after="0" w:line="240" w:lineRule="auto"/>
        <w:ind w:left="285"/>
        <w:jc w:val="both"/>
        <w:rPr>
          <w:rFonts w:ascii="Arial" w:eastAsia="Arial" w:hAnsi="Arial" w:cs="Arial"/>
          <w:sz w:val="24"/>
          <w:szCs w:val="24"/>
        </w:rPr>
      </w:pPr>
      <w:r w:rsidRPr="002843F2">
        <w:rPr>
          <w:rFonts w:ascii="Arial" w:eastAsia="Arial" w:hAnsi="Arial" w:cs="Arial"/>
          <w:b/>
          <w:sz w:val="24"/>
          <w:szCs w:val="24"/>
        </w:rPr>
        <w:t>Artículo 44°. Decisiones en reuniones no presenciales</w:t>
      </w:r>
      <w:r w:rsidRPr="002843F2">
        <w:rPr>
          <w:rFonts w:ascii="Arial" w:eastAsia="Arial" w:hAnsi="Arial" w:cs="Arial"/>
          <w:sz w:val="24"/>
          <w:szCs w:val="24"/>
        </w:rPr>
        <w:t xml:space="preserve">. Las decisiones adoptadas en reuniones no presenciales requerirán el mismo quorum y mayorías necesarios para la adopción de decisiones en sesiones presenciales.  </w:t>
      </w:r>
    </w:p>
    <w:p w14:paraId="2CEDE943" w14:textId="77777777" w:rsidR="002E19E4" w:rsidRPr="002843F2" w:rsidRDefault="002E19E4" w:rsidP="002E19E4">
      <w:pPr>
        <w:tabs>
          <w:tab w:val="left" w:pos="3686"/>
        </w:tabs>
        <w:spacing w:after="0" w:line="240" w:lineRule="auto"/>
        <w:ind w:left="285"/>
        <w:jc w:val="both"/>
        <w:rPr>
          <w:rFonts w:ascii="Arial" w:eastAsia="Arial" w:hAnsi="Arial" w:cs="Arial"/>
          <w:sz w:val="24"/>
          <w:szCs w:val="24"/>
        </w:rPr>
      </w:pPr>
    </w:p>
    <w:p w14:paraId="3E1A7373" w14:textId="77777777" w:rsidR="002E19E4" w:rsidRPr="002843F2" w:rsidRDefault="002E19E4" w:rsidP="002E19E4">
      <w:pPr>
        <w:tabs>
          <w:tab w:val="left" w:pos="3686"/>
        </w:tabs>
        <w:spacing w:after="0" w:line="240" w:lineRule="auto"/>
        <w:ind w:left="285"/>
        <w:jc w:val="both"/>
        <w:rPr>
          <w:rFonts w:ascii="Arial" w:eastAsia="Arial" w:hAnsi="Arial" w:cs="Arial"/>
          <w:sz w:val="24"/>
          <w:szCs w:val="24"/>
        </w:rPr>
      </w:pPr>
      <w:r w:rsidRPr="002843F2">
        <w:rPr>
          <w:rFonts w:ascii="Arial" w:eastAsia="Arial" w:hAnsi="Arial" w:cs="Arial"/>
          <w:sz w:val="24"/>
          <w:szCs w:val="24"/>
        </w:rPr>
        <w:t>Las actas deberán asentarse en el libro respectivo, suscribirse física o digitalmente por el representante legal y comunicarse a los propietarios dentro de los diez (10) días siguientes a aquel en que se concluyó el acuerdo.</w:t>
      </w:r>
    </w:p>
    <w:p w14:paraId="17CBE0E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37F43B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454FEB2"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28.</w:t>
      </w:r>
      <w:r w:rsidRPr="002843F2">
        <w:rPr>
          <w:rFonts w:ascii="Arial" w:eastAsia="Arial" w:hAnsi="Arial" w:cs="Arial"/>
          <w:sz w:val="24"/>
          <w:szCs w:val="24"/>
        </w:rPr>
        <w:t xml:space="preserve"> Modifíquese el Artículo 46 de la Ley 675 de 2001, el cual quedará así:</w:t>
      </w:r>
    </w:p>
    <w:p w14:paraId="0BBBD63F"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4016F1B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46°. Decisiones que exigen mayoría calificada.</w:t>
      </w:r>
      <w:r w:rsidRPr="002843F2">
        <w:rPr>
          <w:rFonts w:ascii="Arial" w:eastAsia="Arial" w:hAnsi="Arial" w:cs="Arial"/>
          <w:sz w:val="24"/>
          <w:szCs w:val="24"/>
        </w:rPr>
        <w:t xml:space="preserve"> Como excepción a la norma general, las siguientes decisiones requerirán mayoría calificada del setenta por ciento (70%) de los coeficientes de copropiedad que integra la propiedad horizontal:</w:t>
      </w:r>
    </w:p>
    <w:p w14:paraId="4B4420F2"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FB0BC7C"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Cambios que afecten la destinación de los bienes comunes o impliquen una disminución en su uso y goce.</w:t>
      </w:r>
    </w:p>
    <w:p w14:paraId="0A3B88FD"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Imposición de expensas extraordinarias cuya cuantía total, durante la vigencia presupuestal, supere cuatro (4) veces el valor de las expensas necesarias mensuales.</w:t>
      </w:r>
    </w:p>
    <w:p w14:paraId="2902FE45"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Aprobación de expensas comunes diferentes de las ordinarias.</w:t>
      </w:r>
    </w:p>
    <w:p w14:paraId="72E164EB"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Asignación de un bien común al uso y goce exclusivo de un determinado bien privado, cuando así lo haya solicitado un copropietario.</w:t>
      </w:r>
    </w:p>
    <w:p w14:paraId="4BE992FE"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Reforma a los estatutos y reglamento de propiedad horizontal. </w:t>
      </w:r>
    </w:p>
    <w:p w14:paraId="5AB8EB6B"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Desafectación de un bien común no esencial.</w:t>
      </w:r>
    </w:p>
    <w:p w14:paraId="032C5D36"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Reconstrucción de la propiedad horizontal, destruida en proporción que represente por lo menos el setenta y cinco por ciento (75%).</w:t>
      </w:r>
    </w:p>
    <w:p w14:paraId="5800A553"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Cambio de destinación genérica de los bienes de dominio particular, siempre y cuando se ajuste a la normatividad urbanística vigente. </w:t>
      </w:r>
    </w:p>
    <w:p w14:paraId="2BD350A6"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 prohibición de destinar las unidades privadas al servicio de hospedaje u alojamiento.</w:t>
      </w:r>
    </w:p>
    <w:p w14:paraId="64C9C592"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Adquisición de inmuebles para la propiedad horizontal.</w:t>
      </w:r>
    </w:p>
    <w:p w14:paraId="2BAD6701" w14:textId="77777777" w:rsidR="002E19E4" w:rsidRPr="002843F2" w:rsidRDefault="002E19E4" w:rsidP="000E36E0">
      <w:pPr>
        <w:numPr>
          <w:ilvl w:val="0"/>
          <w:numId w:val="57"/>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Liquidación y disolución.</w:t>
      </w:r>
    </w:p>
    <w:p w14:paraId="36555998"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035AF9F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w:t>
      </w:r>
      <w:r w:rsidRPr="002843F2">
        <w:rPr>
          <w:rFonts w:ascii="Arial" w:eastAsia="Arial" w:hAnsi="Arial" w:cs="Arial"/>
          <w:sz w:val="24"/>
          <w:szCs w:val="24"/>
        </w:rPr>
        <w:t xml:space="preserve"> Las decisiones previstas en este artículo no podrán tomarse en reuniones de segunda convocatoria, salvo qué en este último caso, se obtenga la mayoría exigida por esta Ley.</w:t>
      </w:r>
    </w:p>
    <w:p w14:paraId="5433E86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66753F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50D0C70"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29</w:t>
      </w:r>
      <w:r w:rsidRPr="002843F2">
        <w:rPr>
          <w:rFonts w:ascii="Arial" w:eastAsia="Arial" w:hAnsi="Arial" w:cs="Arial"/>
          <w:sz w:val="24"/>
          <w:szCs w:val="24"/>
        </w:rPr>
        <w:t>. Modifíquese el Artículo 51 de la Ley 675 de 2001, el cual quedará así:</w:t>
      </w:r>
    </w:p>
    <w:p w14:paraId="00A2F92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73C5C0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51. Funciones del administrador.</w:t>
      </w:r>
      <w:r w:rsidRPr="002843F2">
        <w:rPr>
          <w:rFonts w:ascii="Arial" w:eastAsia="Arial" w:hAnsi="Arial" w:cs="Arial"/>
          <w:sz w:val="24"/>
          <w:szCs w:val="24"/>
        </w:rPr>
        <w:t xml:space="preserve"> La administración inmediata de la propiedad horizontal estará a cargo del administrador, quien tiene facultades de ejecución, conservación, representación y recaudo. Sus funciones básicas son las siguientes.</w:t>
      </w:r>
    </w:p>
    <w:p w14:paraId="31A347B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0042923"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Velar por el cumplimiento de las exigencias relacionadas con la seguridad y accesibilidad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w:t>
      </w:r>
      <w:r w:rsidRPr="002843F2">
        <w:rPr>
          <w:rFonts w:ascii="Arial" w:eastAsia="Arial" w:hAnsi="Arial" w:cs="Arial"/>
          <w:color w:val="000000"/>
          <w:sz w:val="24"/>
          <w:szCs w:val="24"/>
        </w:rPr>
        <w:lastRenderedPageBreak/>
        <w:t>ejecución de simulacros anuales de evacuación y las demás que la Ley y el reglamento de propiedad horizontal considere, en armonía con las particularidades de cada propiedad horizontal.</w:t>
      </w:r>
    </w:p>
    <w:p w14:paraId="1AAB157F"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Verificar y recibir los bienes comunes entregados por el propietario inicial; si la calidad y especificaciones de los mismos no corresponden con lo descrito en la licencia de construcción y en la oferta comercial y/o no son accesibles para las personas con discapacidad; no los recibir</w:t>
      </w:r>
      <w:r w:rsidRPr="002843F2">
        <w:rPr>
          <w:rFonts w:ascii="Arial" w:eastAsia="Arial" w:hAnsi="Arial" w:cs="Arial"/>
          <w:sz w:val="24"/>
          <w:szCs w:val="24"/>
        </w:rPr>
        <w:t>á y</w:t>
      </w:r>
      <w:r w:rsidRPr="002843F2">
        <w:rPr>
          <w:rFonts w:ascii="Arial" w:eastAsia="Arial" w:hAnsi="Arial" w:cs="Arial"/>
          <w:color w:val="000000"/>
          <w:sz w:val="24"/>
          <w:szCs w:val="24"/>
        </w:rPr>
        <w:t xml:space="preserve"> deberá informar a la asamblea y reportar a las autoridades distritales o municipales e iniciar el proceso administrativo al que hubiere lugar, con el fin de sanear las deficiencias de la copropiedad, sin perjuicio de acudir a la jurisdicción ordinaria.</w:t>
      </w:r>
    </w:p>
    <w:p w14:paraId="306468FA"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Cuidar y vigilar los bienes comunes, y ejecutar los actos de administración, conservación y disposición de los mismos de conformidad con las facultades y restricciones fijadas en el reglamento de propiedad horizontal.</w:t>
      </w:r>
    </w:p>
    <w:p w14:paraId="171C0F5F"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14:paraId="2A866D1B"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14:paraId="02146421"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14:paraId="6351E5C2"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Llevar bajo su dependencia y responsabilidad, la contabilidad de la propiedad horizontal.</w:t>
      </w:r>
    </w:p>
    <w:p w14:paraId="57E81DEB"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14:paraId="7ED09410"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Llevar directamente o bajo su dependencia y responsabilidad, los libros de actas de la asamblea; de registro de propietarios, residentes, visitantes y personal vinculado a la copropiedad; atender la correspondencia relativa al edificio, conjunto o agrupación. Lo anterior, se deberá hacer bajo el estricto cumplimiento de las disposiciones contenidas en las Leyes 1266 de 2008 y 1581 de 2012 y, las demás normas que las modifiquen o reglamenten.</w:t>
      </w:r>
    </w:p>
    <w:p w14:paraId="22CD25E5"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Suministrar información actualizada y veraz en el Registro Único Nacional de Administradores de Propiedad Horizontal.</w:t>
      </w:r>
    </w:p>
    <w:p w14:paraId="3333943D"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Elevar a escritura pública y registrar las reformas al reglamento de propiedad horizontal aprobadas por la asamblea general de propietarios, e inscribir ante </w:t>
      </w:r>
      <w:r w:rsidRPr="002843F2">
        <w:rPr>
          <w:rFonts w:ascii="Arial" w:eastAsia="Arial" w:hAnsi="Arial" w:cs="Arial"/>
          <w:color w:val="000000"/>
          <w:sz w:val="24"/>
          <w:szCs w:val="24"/>
        </w:rPr>
        <w:lastRenderedPageBreak/>
        <w:t>la entidad competente todos los actos relacionados con la existencia y representación legal de la persona jurídica.</w:t>
      </w:r>
    </w:p>
    <w:p w14:paraId="5CCABE07"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Representar judicial y extrajudicialmente a la persona jurídica y conceder poderes especiales para tales fines, cuando la necesidad lo exija.</w:t>
      </w:r>
    </w:p>
    <w:p w14:paraId="68E8F286"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Notificar a los propietarios de bienes privados, por los medios que señale el respectivo reglamento de propiedad horizontal, las sanciones impuestas en su contra por la asamblea general, el consejo de administración, según el caso, por incumplimiento de obligaciones.</w:t>
      </w:r>
    </w:p>
    <w:p w14:paraId="4BACF2AB"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Verificar el cumplimiento de las disposiciones reglamentarias de la propiedad horizontal tendientes a garantizar la protección, el bienestar y la convivencia de los copropietarios.</w:t>
      </w:r>
    </w:p>
    <w:p w14:paraId="44E66ADB"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w:t>
      </w:r>
    </w:p>
    <w:p w14:paraId="569E1A24"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Poner en conocimiento de los propietarios y residentes de la propiedad horizontal, las actas de la asamblea general y del consejo de administración, si lo hubiere.</w:t>
      </w:r>
    </w:p>
    <w:p w14:paraId="0A5DB4F8"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Rendir cuentas documentadas y pormenorizadas de su gestión cuando los organismos de administración lo requieran.</w:t>
      </w:r>
    </w:p>
    <w:p w14:paraId="47F4320F"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Reportar a la Superintendencia de Industria y Comercio aquellos inmuebles sometidos al régimen de propiedad horizontal en los cuales se preste el servicio de vivienda turística cuando estos no estén autorizados para dicha destinación en los reglamentos de propiedad horizontal, o no se encuentren en el Registro Nacional de Turismo.</w:t>
      </w:r>
    </w:p>
    <w:p w14:paraId="7E314A7A"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Expedir el paz y salvo de cuentas con la administración de la propiedad horizontal cada vez que se produzca el cambio de tenedor o propietario de un bien de dominio particular.</w:t>
      </w:r>
    </w:p>
    <w:p w14:paraId="44033324"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En el caso de administradores de propiedades horizontales de uso comercial, de servicio e industrial, se deberá cuidar el secreto industrial o la información confidencial, que de ser divulgada afecte los intereses de la organización.</w:t>
      </w:r>
    </w:p>
    <w:p w14:paraId="49CDB9A1"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Dar respuesta oportuna, clara y de fondo frente a los derechos de petición radicados.</w:t>
      </w:r>
    </w:p>
    <w:p w14:paraId="74572F40" w14:textId="77777777" w:rsidR="002E19E4" w:rsidRPr="002843F2" w:rsidRDefault="002E19E4" w:rsidP="000E36E0">
      <w:pPr>
        <w:numPr>
          <w:ilvl w:val="0"/>
          <w:numId w:val="5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Las demás funciones previstas en la presente Ley, en el reglamento de propiedad horizontal, así como las que defina la asamblea general de propietarios.</w:t>
      </w:r>
    </w:p>
    <w:p w14:paraId="4FBC9B51" w14:textId="77777777" w:rsidR="002E19E4" w:rsidRPr="000B665B" w:rsidRDefault="002E19E4" w:rsidP="002E19E4">
      <w:pPr>
        <w:tabs>
          <w:tab w:val="left" w:pos="3686"/>
        </w:tabs>
        <w:spacing w:after="0" w:line="240" w:lineRule="auto"/>
        <w:jc w:val="both"/>
        <w:rPr>
          <w:rFonts w:ascii="Arial" w:eastAsia="Arial" w:hAnsi="Arial" w:cs="Arial"/>
          <w:b/>
          <w:sz w:val="24"/>
          <w:szCs w:val="24"/>
        </w:rPr>
      </w:pPr>
    </w:p>
    <w:p w14:paraId="73C8899C" w14:textId="3355B1FE" w:rsidR="000B665B" w:rsidRPr="002843F2" w:rsidRDefault="000B665B" w:rsidP="002E19E4">
      <w:pPr>
        <w:tabs>
          <w:tab w:val="left" w:pos="3686"/>
        </w:tabs>
        <w:spacing w:after="0" w:line="240" w:lineRule="auto"/>
        <w:jc w:val="both"/>
        <w:rPr>
          <w:rFonts w:ascii="Arial" w:eastAsia="Arial" w:hAnsi="Arial" w:cs="Arial"/>
          <w:sz w:val="24"/>
          <w:szCs w:val="24"/>
        </w:rPr>
      </w:pPr>
      <w:r w:rsidRPr="000B665B">
        <w:rPr>
          <w:rFonts w:ascii="Arial" w:eastAsia="Arial" w:hAnsi="Arial" w:cs="Arial"/>
          <w:b/>
          <w:sz w:val="24"/>
          <w:szCs w:val="24"/>
        </w:rPr>
        <w:t>Parágrafo</w:t>
      </w:r>
      <w:r>
        <w:rPr>
          <w:rFonts w:ascii="Arial" w:eastAsia="Arial" w:hAnsi="Arial" w:cs="Arial"/>
          <w:sz w:val="24"/>
          <w:szCs w:val="24"/>
        </w:rPr>
        <w:t>. Es deber del administrador, contar en todo momento con vías de comunicación abiertas a los propietarios para cabal cumplimiento de las funciones establecidas en este artículo.</w:t>
      </w:r>
    </w:p>
    <w:p w14:paraId="119F500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7CD57E9"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30.</w:t>
      </w:r>
      <w:r w:rsidRPr="002843F2">
        <w:rPr>
          <w:rFonts w:ascii="Arial" w:eastAsia="Arial" w:hAnsi="Arial" w:cs="Arial"/>
          <w:sz w:val="24"/>
          <w:szCs w:val="24"/>
        </w:rPr>
        <w:t xml:space="preserve"> Adiciónese el Artículo 51A a la Ley 675 de 2001, el cual quedará así:</w:t>
      </w:r>
    </w:p>
    <w:p w14:paraId="0BB250C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2D2831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lastRenderedPageBreak/>
        <w:t>Artículo 51A. Inscripción</w:t>
      </w:r>
      <w:r w:rsidRPr="002843F2">
        <w:rPr>
          <w:rFonts w:ascii="Arial" w:eastAsia="Arial" w:hAnsi="Arial" w:cs="Arial"/>
          <w:sz w:val="24"/>
          <w:szCs w:val="24"/>
        </w:rPr>
        <w:t xml:space="preserve">. Cualquier persona que ejerza o pretenda ejercer como administrador de propiedad horizontal deberá inscribirse en el Registro Único, suministrando información verídica y actualizándola cuando haya lugar. </w:t>
      </w:r>
    </w:p>
    <w:p w14:paraId="70FAFEA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808914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el Registro se deberá identificar a las propiedades horizontales en las que presta y ha prestado sus servicios, los periodos de administración, las sanciones impuestas y su vigencia.</w:t>
      </w:r>
    </w:p>
    <w:p w14:paraId="2BBA429C"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39A312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D5BFD14"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31.</w:t>
      </w:r>
      <w:r w:rsidRPr="002843F2">
        <w:rPr>
          <w:rFonts w:ascii="Arial" w:eastAsia="Arial" w:hAnsi="Arial" w:cs="Arial"/>
          <w:sz w:val="24"/>
          <w:szCs w:val="24"/>
        </w:rPr>
        <w:t xml:space="preserve"> Adiciónese el Artículo 51B a la Ley 675 de 2001, el cual quedará así:</w:t>
      </w:r>
    </w:p>
    <w:p w14:paraId="7D08E1A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8C58108"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w:t>
      </w:r>
      <w:r w:rsidRPr="002843F2">
        <w:rPr>
          <w:rFonts w:ascii="Arial" w:eastAsia="Arial" w:hAnsi="Arial" w:cs="Arial"/>
          <w:sz w:val="24"/>
          <w:szCs w:val="24"/>
        </w:rPr>
        <w:t xml:space="preserve"> </w:t>
      </w:r>
      <w:r w:rsidRPr="002843F2">
        <w:rPr>
          <w:rFonts w:ascii="Arial" w:eastAsia="Arial" w:hAnsi="Arial" w:cs="Arial"/>
          <w:b/>
          <w:sz w:val="24"/>
          <w:szCs w:val="24"/>
        </w:rPr>
        <w:t>51B. Requisitos</w:t>
      </w:r>
      <w:r w:rsidRPr="002843F2">
        <w:rPr>
          <w:rFonts w:ascii="Arial" w:eastAsia="Arial" w:hAnsi="Arial" w:cs="Arial"/>
          <w:sz w:val="24"/>
          <w:szCs w:val="24"/>
        </w:rPr>
        <w:t>. Para la inscripción en el Registro, se debe cumplir con los siguientes requisitos.</w:t>
      </w:r>
    </w:p>
    <w:p w14:paraId="2BF4071E"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BC1E35D" w14:textId="77777777" w:rsidR="002E19E4" w:rsidRPr="002843F2" w:rsidRDefault="002E19E4" w:rsidP="000E36E0">
      <w:pPr>
        <w:numPr>
          <w:ilvl w:val="0"/>
          <w:numId w:val="56"/>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Acreditar educación media mediante el título de bachiller otorgado por las instituciones educativas autorizadas.</w:t>
      </w:r>
    </w:p>
    <w:p w14:paraId="683C3BFA" w14:textId="77777777" w:rsidR="002E19E4" w:rsidRPr="002843F2" w:rsidRDefault="002E19E4" w:rsidP="000E36E0">
      <w:pPr>
        <w:numPr>
          <w:ilvl w:val="0"/>
          <w:numId w:val="56"/>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También se podrá acreditar título profesional, afín a las ciencias administrativas, contables o legales.</w:t>
      </w:r>
    </w:p>
    <w:p w14:paraId="69D5D3D0"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B2BC54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el caso de las propiedades horizontales construidas para la prestación exclusiva de servicios de alojamiento u hospedaje, el administrador deberá contar además con formación académica en el grado de tecnólogo o formación para el empleo en materia turística.</w:t>
      </w:r>
    </w:p>
    <w:p w14:paraId="693C122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091487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A partir de la entrada en funcionamiento del Registro Único de Administradores de Propiedad Horizontal y durante los siguientes dos (2) años, quien ejerza como Administrador de Propiedad Horizontal podrá registrarse acreditando únicamente experiencia laboral de mínimo dos (2) años. Vencido este término, quien pretenda ejercer la actividad, deben inscribirse acreditando los requisitos de los numerales 1 y 2 del presente artículo.</w:t>
      </w:r>
    </w:p>
    <w:p w14:paraId="209514EF"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250CE4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xml:space="preserve"> Administradores Ad-Honorem. En caso que el administrador de propiedad horizontal preste sus servicios de manera gratuita y sea copropietario, no deberá cumplir con los requisitos antes descritos y deberá dejar constancia al momento de solicitar la certificación de representación legal ante la autoridad competente. </w:t>
      </w:r>
    </w:p>
    <w:p w14:paraId="4106F94C"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396C19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98D5D54"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32.</w:t>
      </w:r>
      <w:r w:rsidRPr="002843F2">
        <w:rPr>
          <w:rFonts w:ascii="Arial" w:eastAsia="Arial" w:hAnsi="Arial" w:cs="Arial"/>
          <w:sz w:val="24"/>
          <w:szCs w:val="24"/>
        </w:rPr>
        <w:t xml:space="preserve"> Modifíquese el Artículo 52 de la Ley 675 de 2001, el cual quedará así:</w:t>
      </w:r>
    </w:p>
    <w:p w14:paraId="0F421E1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688D8C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52°. Administración provisional.</w:t>
      </w:r>
      <w:r w:rsidRPr="002843F2">
        <w:rPr>
          <w:rFonts w:ascii="Arial" w:eastAsia="Arial" w:hAnsi="Arial" w:cs="Arial"/>
          <w:sz w:val="24"/>
          <w:szCs w:val="24"/>
        </w:rPr>
        <w:t xml:space="preserve"> Mientras el órgano competente no elija al administrador de la propiedad horizontal, ejercerá como tal el propietario inicial, quien podrá contratar con un tercero tal gestión.</w:t>
      </w:r>
    </w:p>
    <w:p w14:paraId="7AF2341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8C668A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No obstante, lo indicado en este artículo, cesará la gestión del propietario inicial como administrador provisional cuando se deba realizar la entrega de bienes, siempre que se haya terminado la construcción y enajenación de un número de bienes privados que represente por lo menos el sesenta por ciento (60%) de los coeficientes de copropiedad.</w:t>
      </w:r>
    </w:p>
    <w:p w14:paraId="2EA964A0"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3860A1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Cumplida la condición a que se ha hecho referencia, el propietario inicial deberá informarlo por escrito a todos los propietarios de la propiedad horizontal, para que se reúna y proceda a nombrar el administrador definitivo, dentro de los dos meses siguientes. De no hacerlo el propietario inicial nombrará al administrador definitivo.</w:t>
      </w:r>
    </w:p>
    <w:p w14:paraId="383D140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A353E6F"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Serán funciones del administrador provisional, sin perjuicio de aquellas que se señalen en el reglamento de propiedad horizontal, las siguientes:</w:t>
      </w:r>
    </w:p>
    <w:p w14:paraId="07A8FA8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89FA41E"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Convocar asambleas de copropietarios que se requieran o resulten convenientes durante su gestión. En todo caso, si no lo hubiere hecho antes, deberá convocar a la asamblea cuando se hayan enajenado a terceros las unidades privadas que representen por lo menos, el sesenta por ciento (60%) de los coeficientes de copropiedad.</w:t>
      </w:r>
    </w:p>
    <w:p w14:paraId="1F681101"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Llevar bajo su dependencia y responsabilidad, la contabilidad de la propiedad horizontal.</w:t>
      </w:r>
    </w:p>
    <w:p w14:paraId="766121CF"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Cuidar y vigilar los bienes comunes, y ejecutar los actos de administración, conservación y disposición de los mismos de conformidad con las facultades y restricciones fijadas en el reglamento de propiedad horizontal.</w:t>
      </w:r>
    </w:p>
    <w:p w14:paraId="075B0939"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14:paraId="4A7D8F78"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14:paraId="4DF5DE89"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Representar judicial y extrajudicialmente a la persona jurídica y conceder poderes especiales para tales fines, cuando la necesidad lo exija.</w:t>
      </w:r>
    </w:p>
    <w:p w14:paraId="6C6715D8"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Presentar un informe al administrador definitivo, en el que se señale el cumplimiento de todas las obligaciones a su cargo durante su gestión.</w:t>
      </w:r>
    </w:p>
    <w:p w14:paraId="49BDE4C6"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lastRenderedPageBreak/>
        <w:t>Adoptar los ajustes razonables que se requieran para garantizar la participación en condiciones de igualdad de las personas con discapacidad en la asamblea general, o consejo de administración según sea el caso.</w:t>
      </w:r>
    </w:p>
    <w:p w14:paraId="14FE4996" w14:textId="77777777" w:rsidR="002E19E4" w:rsidRPr="002843F2" w:rsidRDefault="002E19E4" w:rsidP="000E36E0">
      <w:pPr>
        <w:numPr>
          <w:ilvl w:val="0"/>
          <w:numId w:val="58"/>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Todas las demás funciones señaladas en la presente Ley para el administrador.</w:t>
      </w:r>
    </w:p>
    <w:p w14:paraId="7A59C82B"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6161212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En caso de conjuntos o agrupaciones desarrolladas por etapas, la administración provisional cesará cuando se haya terminado la construcción y enajenación de un número de bienes privados que representen por lo menos el sesenta por ciento (60%) de los coeficientes de copropiedad.</w:t>
      </w:r>
    </w:p>
    <w:p w14:paraId="664238B9"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158703B3"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xml:space="preserve"> El administrador provisional deberá estar inscrito en el Registro Único de Administradores de Propiedad Horizontal.</w:t>
      </w:r>
    </w:p>
    <w:p w14:paraId="77A5B27B"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ABD0B5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16845B2"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33.</w:t>
      </w:r>
      <w:r w:rsidRPr="002843F2">
        <w:rPr>
          <w:rFonts w:ascii="Arial" w:eastAsia="Arial" w:hAnsi="Arial" w:cs="Arial"/>
          <w:sz w:val="24"/>
          <w:szCs w:val="24"/>
        </w:rPr>
        <w:t xml:space="preserve"> Modifíquese el Artículo 55 de la Ley 675 de 2001, el cual quedará así:</w:t>
      </w:r>
    </w:p>
    <w:p w14:paraId="08468FA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6012F1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55° Funciones.</w:t>
      </w:r>
      <w:r w:rsidRPr="002843F2">
        <w:rPr>
          <w:rFonts w:ascii="Arial" w:eastAsia="Arial" w:hAnsi="Arial" w:cs="Arial"/>
          <w:sz w:val="24"/>
          <w:szCs w:val="24"/>
        </w:rPr>
        <w:t xml:space="preserve">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w:t>
      </w:r>
    </w:p>
    <w:p w14:paraId="46794FA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6F113D4"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Elegir al Administrador para períodos no superiores a un (1) año pudiendo ser reelegido, y supervisar sus Funciones y removerlo por justas causas.</w:t>
      </w:r>
    </w:p>
    <w:p w14:paraId="59929045"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Asesorar al administrador en todas las cuestiones relativas al mejor funcionamiento de la copropiedad, realizando el control de su gestión.</w:t>
      </w:r>
    </w:p>
    <w:p w14:paraId="66B58241"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Proponer a la asamblea general de propietarios la realización de programas de mejoras, de obras y reparaciones o la reconstrucción parcial o total del inmueble y la distribución del costo entre los propietarios.</w:t>
      </w:r>
    </w:p>
    <w:p w14:paraId="5C52D3A0"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Solicitar al administrador oportuna información sobre los actos y contratos celebrados en el ejercicio de funciones.</w:t>
      </w:r>
    </w:p>
    <w:p w14:paraId="708D7D0F"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Convocar a la Asamblea General de Propietarios a reunión ordinaria anual cuando el administrador no lo hubiere hecho oportunamente y a las reuniones extraordinarias por conducto del administrador, en los casos previstos en la Ley o cuando lo estime conveniente.</w:t>
      </w:r>
    </w:p>
    <w:p w14:paraId="7F03A3C7"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Verificar en el Registro Único de Administradores de Propiedad Horizontal la inscripción del administrador a contratar. En caso que, el administrador sea ad honorem, se deberá dejar esta constancia al momento de certificar la respectiva representación legal.</w:t>
      </w:r>
    </w:p>
    <w:p w14:paraId="49AF08E5"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Aprobar o improbar, revisar y hacer observaciones a los balances mensuales que le presente el administrador.</w:t>
      </w:r>
    </w:p>
    <w:p w14:paraId="5AF51FEB"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En el caso de propiedades horizontales de uso mixto, los miembros del consejo de administración también deberán cumplir con los deberes de los </w:t>
      </w:r>
      <w:r w:rsidRPr="002843F2">
        <w:rPr>
          <w:rFonts w:ascii="Arial" w:eastAsia="Arial" w:hAnsi="Arial" w:cs="Arial"/>
          <w:color w:val="000000"/>
          <w:sz w:val="24"/>
          <w:szCs w:val="24"/>
        </w:rPr>
        <w:lastRenderedPageBreak/>
        <w:t>administradores contenidos en el artículo 23 de la Ley 222 de 1995, o la norma que la reemplace o modifique.</w:t>
      </w:r>
    </w:p>
    <w:p w14:paraId="08D65556"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Convocar por conducto del administrador a las Asambleas extraordinarias. Igualmente convocar a la Asamblea General Extraordinaria cuando el Administrador no lo haga o cuando se estime conveniente.</w:t>
      </w:r>
    </w:p>
    <w:p w14:paraId="21948B5A"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Exigir al administrador oportuna información sobre los actos y contratos por él celebrados en el ejercicio de sus funciones. reglamentar la forma de efectuar los gastos.</w:t>
      </w:r>
    </w:p>
    <w:p w14:paraId="5AB2BDA2"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sz w:val="24"/>
          <w:szCs w:val="24"/>
        </w:rPr>
      </w:pPr>
      <w:r w:rsidRPr="002843F2">
        <w:rPr>
          <w:rFonts w:ascii="Arial" w:eastAsia="Arial" w:hAnsi="Arial" w:cs="Arial"/>
          <w:sz w:val="24"/>
          <w:szCs w:val="24"/>
        </w:rPr>
        <w:t>Ejercer la representación legal de la propiedad horizontal cuando haya vacancia absoluta del administrador.</w:t>
      </w:r>
    </w:p>
    <w:p w14:paraId="1621C3B3" w14:textId="77777777" w:rsidR="002E19E4" w:rsidRPr="002843F2" w:rsidRDefault="002E19E4" w:rsidP="000E36E0">
      <w:pPr>
        <w:numPr>
          <w:ilvl w:val="0"/>
          <w:numId w:val="59"/>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Las demás funciones contempladas en el reglamento de propiedad horizontal.</w:t>
      </w:r>
    </w:p>
    <w:p w14:paraId="285D6752"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22517E9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Los miembros del consejo de administración, el administrador, el revisor fiscal, o el personal al servicio de la administración o de la copropiedad, no podrán representar a ningún copropietario. El poder o la autorización otorgada en este sentido, será nulo.</w:t>
      </w:r>
    </w:p>
    <w:p w14:paraId="2B7263D6"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5E6CE1A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xml:space="preserve"> La asamblea podrá establecer límites al periodo de los miembros del consejo de administración, sin que para estos efectos sea necesario la modificación del reglamento.</w:t>
      </w:r>
    </w:p>
    <w:p w14:paraId="121AC15B"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7787E2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48D4E13"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34.</w:t>
      </w:r>
      <w:r w:rsidRPr="002843F2">
        <w:rPr>
          <w:rFonts w:ascii="Arial" w:eastAsia="Arial" w:hAnsi="Arial" w:cs="Arial"/>
          <w:sz w:val="24"/>
          <w:szCs w:val="24"/>
        </w:rPr>
        <w:t xml:space="preserve"> Adiciónese el Artículo 55A a la Ley 675 de 2001, el cual quedará así: </w:t>
      </w:r>
    </w:p>
    <w:p w14:paraId="4BF924EA"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00A021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55Aº. Prohibiciones.</w:t>
      </w:r>
      <w:r w:rsidRPr="002843F2">
        <w:rPr>
          <w:rFonts w:ascii="Arial" w:eastAsia="Arial" w:hAnsi="Arial" w:cs="Arial"/>
          <w:sz w:val="24"/>
          <w:szCs w:val="24"/>
        </w:rPr>
        <w:t xml:space="preserve"> A los miembros del consejo de administración se les prohíbe:</w:t>
      </w:r>
    </w:p>
    <w:p w14:paraId="0AFE36F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558EA38D" w14:textId="77777777" w:rsidR="002E19E4" w:rsidRPr="002843F2" w:rsidRDefault="002E19E4" w:rsidP="000E36E0">
      <w:pPr>
        <w:numPr>
          <w:ilvl w:val="0"/>
          <w:numId w:val="60"/>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Utilizar su cargo para obtener beneficios personales.</w:t>
      </w:r>
    </w:p>
    <w:p w14:paraId="5C25368E" w14:textId="77777777" w:rsidR="002E19E4" w:rsidRPr="002843F2" w:rsidRDefault="002E19E4" w:rsidP="000E36E0">
      <w:pPr>
        <w:numPr>
          <w:ilvl w:val="0"/>
          <w:numId w:val="60"/>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Ejercer presiones indebidas para la consecución de contratos u otros beneficios personales.</w:t>
      </w:r>
    </w:p>
    <w:p w14:paraId="1AAAD9BA" w14:textId="77777777" w:rsidR="002E19E4" w:rsidRPr="002843F2" w:rsidRDefault="002E19E4" w:rsidP="000E36E0">
      <w:pPr>
        <w:numPr>
          <w:ilvl w:val="0"/>
          <w:numId w:val="60"/>
        </w:numPr>
        <w:pBdr>
          <w:top w:val="nil"/>
          <w:left w:val="nil"/>
          <w:bottom w:val="nil"/>
          <w:right w:val="nil"/>
          <w:between w:val="nil"/>
        </w:pBdr>
        <w:tabs>
          <w:tab w:val="left" w:pos="3686"/>
        </w:tabs>
        <w:spacing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Administrar la copropiedad mientras sea integrante del consejo de administración, salvo cuando sea nombrado como administrador suplente en caso de falta provisional o absoluta del administrador titular.</w:t>
      </w:r>
    </w:p>
    <w:p w14:paraId="276F7CE1" w14:textId="77777777" w:rsidR="002E19E4" w:rsidRPr="002843F2" w:rsidRDefault="002E19E4" w:rsidP="002E19E4">
      <w:pPr>
        <w:tabs>
          <w:tab w:val="left" w:pos="3686"/>
        </w:tabs>
        <w:spacing w:line="240" w:lineRule="auto"/>
        <w:ind w:left="708"/>
        <w:jc w:val="both"/>
        <w:rPr>
          <w:rFonts w:ascii="Arial" w:eastAsia="Arial" w:hAnsi="Arial" w:cs="Arial"/>
          <w:sz w:val="24"/>
          <w:szCs w:val="24"/>
        </w:rPr>
      </w:pPr>
      <w:r w:rsidRPr="002843F2">
        <w:rPr>
          <w:rFonts w:ascii="Arial" w:eastAsia="Arial" w:hAnsi="Arial" w:cs="Arial"/>
          <w:sz w:val="24"/>
          <w:szCs w:val="24"/>
        </w:rPr>
        <w:t>En este caso, el miembro del consejo de administración deberá apartarse de sus funciones de consejero en tanto ejerza como administrador.</w:t>
      </w:r>
    </w:p>
    <w:p w14:paraId="7B168213" w14:textId="77777777" w:rsidR="002E19E4" w:rsidRPr="002843F2" w:rsidRDefault="002E19E4" w:rsidP="000E36E0">
      <w:pPr>
        <w:numPr>
          <w:ilvl w:val="0"/>
          <w:numId w:val="60"/>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Emitir órdenes a los empleados que sirven a la copropiedad. Esta función será exclusiva del administrador, salvo que por su omisión, fuerza mayor o caso fortuito se requiera, asumiendo en estos casos la responsabilidad que ello conlleve.</w:t>
      </w:r>
    </w:p>
    <w:p w14:paraId="298917E7" w14:textId="77777777" w:rsidR="002E19E4" w:rsidRPr="002843F2" w:rsidRDefault="002E19E4" w:rsidP="000E36E0">
      <w:pPr>
        <w:numPr>
          <w:ilvl w:val="0"/>
          <w:numId w:val="60"/>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En el caso de propiedades horizontales de uso mixto o de las propiedades de uso comercial y por servicios, también le está prohibido a los miembros del consejo de administración, revelar información comercial o industrial, usar </w:t>
      </w:r>
      <w:r w:rsidRPr="002843F2">
        <w:rPr>
          <w:rFonts w:ascii="Arial" w:eastAsia="Arial" w:hAnsi="Arial" w:cs="Arial"/>
          <w:color w:val="000000"/>
          <w:sz w:val="24"/>
          <w:szCs w:val="24"/>
        </w:rPr>
        <w:lastRenderedPageBreak/>
        <w:t>información privilegiada en beneficio propio o de terceros y participar en actos en los que tenga conflicto de interés.</w:t>
      </w:r>
    </w:p>
    <w:p w14:paraId="0B66BC48"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p>
    <w:p w14:paraId="7F51D4F1"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El incumplimiento de las prohibiciones previamente descritas podrá dar lugar a la suspensión o retiro del cargo de los consejeros de administración, previa decisión de la mayoría de los asistentes de la asamblea.</w:t>
      </w:r>
    </w:p>
    <w:p w14:paraId="01632A00"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44EECA2"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xml:space="preserve"> Los miembros del consejo de administración no podrán ser exonerados del pago de cuotas de administración, en razón a su condición de miembros del consejo de administración, salvo que no participen en la decisión que sobre este particular adopte la asamblea.</w:t>
      </w:r>
    </w:p>
    <w:p w14:paraId="72D8EA40"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69F9808"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3982B45"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35.</w:t>
      </w:r>
      <w:r w:rsidRPr="002843F2">
        <w:rPr>
          <w:rFonts w:ascii="Arial" w:eastAsia="Arial" w:hAnsi="Arial" w:cs="Arial"/>
          <w:sz w:val="24"/>
          <w:szCs w:val="24"/>
        </w:rPr>
        <w:t xml:space="preserve"> Adiciónese el Artículo 55B de la Ley 675 de 2001, el cual quedará así:</w:t>
      </w:r>
    </w:p>
    <w:p w14:paraId="6FC0D10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31FE703"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55B. INHABILIDADES E INCOMPATIBILIDADES DE CONSEJO DE ADMINISTRACIÓN</w:t>
      </w:r>
      <w:r w:rsidRPr="002843F2">
        <w:rPr>
          <w:rFonts w:ascii="Arial" w:eastAsia="Arial" w:hAnsi="Arial" w:cs="Arial"/>
          <w:sz w:val="24"/>
          <w:szCs w:val="24"/>
        </w:rPr>
        <w:t>. No podrán celebrar contratos con la copropiedad o suministrar bienes o servicios directamente o por interpuesta persona:</w:t>
      </w:r>
    </w:p>
    <w:p w14:paraId="09EE4678"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5121E0C" w14:textId="77777777" w:rsidR="002E19E4" w:rsidRPr="002843F2" w:rsidRDefault="002E19E4" w:rsidP="000E36E0">
      <w:pPr>
        <w:numPr>
          <w:ilvl w:val="0"/>
          <w:numId w:val="6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Los miembros del Consejo de Administración, sus cónyuges o parientes hasta el segundo grado de consanguinidad, segundo de </w:t>
      </w:r>
      <w:proofErr w:type="spellStart"/>
      <w:r w:rsidRPr="002843F2">
        <w:rPr>
          <w:rFonts w:ascii="Arial" w:eastAsia="Arial" w:hAnsi="Arial" w:cs="Arial"/>
          <w:color w:val="000000"/>
          <w:sz w:val="24"/>
          <w:szCs w:val="24"/>
        </w:rPr>
        <w:t>aﬁnidad</w:t>
      </w:r>
      <w:proofErr w:type="spellEnd"/>
      <w:r w:rsidRPr="002843F2">
        <w:rPr>
          <w:rFonts w:ascii="Arial" w:eastAsia="Arial" w:hAnsi="Arial" w:cs="Arial"/>
          <w:color w:val="000000"/>
          <w:sz w:val="24"/>
          <w:szCs w:val="24"/>
        </w:rPr>
        <w:t xml:space="preserve"> o primero civil.</w:t>
      </w:r>
    </w:p>
    <w:p w14:paraId="73176B87" w14:textId="77777777" w:rsidR="002E19E4" w:rsidRPr="002843F2" w:rsidRDefault="002E19E4" w:rsidP="000E36E0">
      <w:pPr>
        <w:numPr>
          <w:ilvl w:val="0"/>
          <w:numId w:val="6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Las sociedades en las que el miembro del Consejo de Administración o su cónyuge o parientes hasta el segundo grado de consanguinidad, segundo de </w:t>
      </w:r>
      <w:proofErr w:type="spellStart"/>
      <w:r w:rsidRPr="002843F2">
        <w:rPr>
          <w:rFonts w:ascii="Arial" w:eastAsia="Arial" w:hAnsi="Arial" w:cs="Arial"/>
          <w:color w:val="000000"/>
          <w:sz w:val="24"/>
          <w:szCs w:val="24"/>
        </w:rPr>
        <w:t>aﬁnidad</w:t>
      </w:r>
      <w:proofErr w:type="spellEnd"/>
      <w:r w:rsidRPr="002843F2">
        <w:rPr>
          <w:rFonts w:ascii="Arial" w:eastAsia="Arial" w:hAnsi="Arial" w:cs="Arial"/>
          <w:color w:val="000000"/>
          <w:sz w:val="24"/>
          <w:szCs w:val="24"/>
        </w:rPr>
        <w:t xml:space="preserve"> o primero civil, tengan el carácter de representantes legales o integren sus juntas directivas.</w:t>
      </w:r>
    </w:p>
    <w:p w14:paraId="64850A95" w14:textId="77777777" w:rsidR="002E19E4" w:rsidRPr="002843F2" w:rsidRDefault="002E19E4" w:rsidP="000E36E0">
      <w:pPr>
        <w:numPr>
          <w:ilvl w:val="0"/>
          <w:numId w:val="6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Las sociedades de personas en las que el miembro del Consejo de Administración, o su cónyuge, o parientes hasta el segundo grado de consanguinidad, segundo de </w:t>
      </w:r>
      <w:proofErr w:type="spellStart"/>
      <w:r w:rsidRPr="002843F2">
        <w:rPr>
          <w:rFonts w:ascii="Arial" w:eastAsia="Arial" w:hAnsi="Arial" w:cs="Arial"/>
          <w:color w:val="000000"/>
          <w:sz w:val="24"/>
          <w:szCs w:val="24"/>
        </w:rPr>
        <w:t>aﬁnidad</w:t>
      </w:r>
      <w:proofErr w:type="spellEnd"/>
      <w:r w:rsidRPr="002843F2">
        <w:rPr>
          <w:rFonts w:ascii="Arial" w:eastAsia="Arial" w:hAnsi="Arial" w:cs="Arial"/>
          <w:color w:val="000000"/>
          <w:sz w:val="24"/>
          <w:szCs w:val="24"/>
        </w:rPr>
        <w:t xml:space="preserve"> o primero civil sean socios.</w:t>
      </w:r>
    </w:p>
    <w:p w14:paraId="5EF3EFBC" w14:textId="77777777" w:rsidR="002E19E4" w:rsidRPr="002843F2" w:rsidRDefault="002E19E4" w:rsidP="000E36E0">
      <w:pPr>
        <w:numPr>
          <w:ilvl w:val="0"/>
          <w:numId w:val="62"/>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Las Corporaciones, asociaciones y fundaciones en las que el miembro del Consejo Administración o su cónyuge, o parientes hasta el segundo grado de consanguinidad, segundo de </w:t>
      </w:r>
      <w:proofErr w:type="spellStart"/>
      <w:r w:rsidRPr="002843F2">
        <w:rPr>
          <w:rFonts w:ascii="Arial" w:eastAsia="Arial" w:hAnsi="Arial" w:cs="Arial"/>
          <w:color w:val="000000"/>
          <w:sz w:val="24"/>
          <w:szCs w:val="24"/>
        </w:rPr>
        <w:t>aﬁnidad</w:t>
      </w:r>
      <w:proofErr w:type="spellEnd"/>
      <w:r w:rsidRPr="002843F2">
        <w:rPr>
          <w:rFonts w:ascii="Arial" w:eastAsia="Arial" w:hAnsi="Arial" w:cs="Arial"/>
          <w:color w:val="000000"/>
          <w:sz w:val="24"/>
          <w:szCs w:val="24"/>
        </w:rPr>
        <w:t xml:space="preserve"> o primero civil, tengan el carácter de representantes legales o integren sus consejos directivos, excepto cuando se trate de programas de utilidad común, de </w:t>
      </w:r>
      <w:proofErr w:type="spellStart"/>
      <w:r w:rsidRPr="002843F2">
        <w:rPr>
          <w:rFonts w:ascii="Arial" w:eastAsia="Arial" w:hAnsi="Arial" w:cs="Arial"/>
          <w:color w:val="000000"/>
          <w:sz w:val="24"/>
          <w:szCs w:val="24"/>
        </w:rPr>
        <w:t>beneﬁcencia</w:t>
      </w:r>
      <w:proofErr w:type="spellEnd"/>
      <w:r w:rsidRPr="002843F2">
        <w:rPr>
          <w:rFonts w:ascii="Arial" w:eastAsia="Arial" w:hAnsi="Arial" w:cs="Arial"/>
          <w:color w:val="000000"/>
          <w:sz w:val="24"/>
          <w:szCs w:val="24"/>
        </w:rPr>
        <w:t>, de educación superior o que propendan por el mejoramiento de la imagen de la ciudad, su desarrollo o el bienestar de sus habitantes.</w:t>
      </w:r>
    </w:p>
    <w:p w14:paraId="4F40F7EE"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A74503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B36E16B"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36.</w:t>
      </w:r>
      <w:r w:rsidRPr="002843F2">
        <w:rPr>
          <w:rFonts w:ascii="Arial" w:eastAsia="Arial" w:hAnsi="Arial" w:cs="Arial"/>
          <w:sz w:val="24"/>
          <w:szCs w:val="24"/>
        </w:rPr>
        <w:t xml:space="preserve"> Modifíquese el Artículo 56 de la Ley 675 de 2001, el cual quedará así:</w:t>
      </w:r>
    </w:p>
    <w:p w14:paraId="7372949E"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DBC6DEF" w14:textId="48BD4DC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56. OBLIGATORIEDAD</w:t>
      </w:r>
      <w:r w:rsidRPr="002843F2">
        <w:rPr>
          <w:rFonts w:ascii="Arial" w:eastAsia="Arial" w:hAnsi="Arial" w:cs="Arial"/>
          <w:sz w:val="24"/>
          <w:szCs w:val="24"/>
        </w:rPr>
        <w:t>. L</w:t>
      </w:r>
      <w:r w:rsidR="000B665B">
        <w:rPr>
          <w:rFonts w:ascii="Arial" w:eastAsia="Arial" w:hAnsi="Arial" w:cs="Arial"/>
          <w:sz w:val="24"/>
          <w:szCs w:val="24"/>
        </w:rPr>
        <w:t xml:space="preserve">a propiedad horizontal de uso residencial, comercial o mixto con un número </w:t>
      </w:r>
      <w:r w:rsidRPr="002843F2">
        <w:rPr>
          <w:rFonts w:ascii="Arial" w:eastAsia="Arial" w:hAnsi="Arial" w:cs="Arial"/>
          <w:sz w:val="24"/>
          <w:szCs w:val="24"/>
        </w:rPr>
        <w:t xml:space="preserve">mayor a treinta (30) bienes privados excluyendo parqueaderos y depósitos, </w:t>
      </w:r>
      <w:proofErr w:type="gramStart"/>
      <w:r w:rsidRPr="002843F2">
        <w:rPr>
          <w:rFonts w:ascii="Arial" w:eastAsia="Arial" w:hAnsi="Arial" w:cs="Arial"/>
          <w:sz w:val="24"/>
          <w:szCs w:val="24"/>
        </w:rPr>
        <w:t>tendrán</w:t>
      </w:r>
      <w:proofErr w:type="gramEnd"/>
      <w:r w:rsidRPr="002843F2">
        <w:rPr>
          <w:rFonts w:ascii="Arial" w:eastAsia="Arial" w:hAnsi="Arial" w:cs="Arial"/>
          <w:sz w:val="24"/>
          <w:szCs w:val="24"/>
        </w:rPr>
        <w:t xml:space="preserve"> un revisor </w:t>
      </w:r>
      <w:proofErr w:type="spellStart"/>
      <w:r w:rsidRPr="002843F2">
        <w:rPr>
          <w:rFonts w:ascii="Arial" w:eastAsia="Arial" w:hAnsi="Arial" w:cs="Arial"/>
          <w:sz w:val="24"/>
          <w:szCs w:val="24"/>
        </w:rPr>
        <w:t>ﬁ</w:t>
      </w:r>
      <w:r w:rsidR="000B665B">
        <w:rPr>
          <w:rFonts w:ascii="Arial" w:eastAsia="Arial" w:hAnsi="Arial" w:cs="Arial"/>
          <w:sz w:val="24"/>
          <w:szCs w:val="24"/>
        </w:rPr>
        <w:t>scal</w:t>
      </w:r>
      <w:proofErr w:type="spellEnd"/>
      <w:r w:rsidR="000B665B">
        <w:rPr>
          <w:rFonts w:ascii="Arial" w:eastAsia="Arial" w:hAnsi="Arial" w:cs="Arial"/>
          <w:sz w:val="24"/>
          <w:szCs w:val="24"/>
        </w:rPr>
        <w:t>, contador público</w:t>
      </w:r>
      <w:r w:rsidRPr="002843F2">
        <w:rPr>
          <w:rFonts w:ascii="Arial" w:eastAsia="Arial" w:hAnsi="Arial" w:cs="Arial"/>
          <w:sz w:val="24"/>
          <w:szCs w:val="24"/>
        </w:rPr>
        <w:t>, con matrícula profesional vigente e inscrito a la Junta Central de Contadores, elegido por la asamblea general de propietarios.</w:t>
      </w:r>
    </w:p>
    <w:p w14:paraId="10D2191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719EBE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aquellos que tengan un número igual o inferior a treinta (30) bienes privados, excluyendo parqueaderos y depósitos, será potestativo si así lo decide la asamblea general de propietarios.</w:t>
      </w:r>
    </w:p>
    <w:p w14:paraId="687B3D7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5AF16ABF"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El Revisor Fiscal no podrá ser propietario o tenedor de bienes privados en la propiedad horizontal respecto del cual cumple sus funciones, ni tener parentesco hasta el cuarto grado de consanguinidad, segundo de </w:t>
      </w:r>
      <w:proofErr w:type="spellStart"/>
      <w:r w:rsidRPr="002843F2">
        <w:rPr>
          <w:rFonts w:ascii="Arial" w:eastAsia="Arial" w:hAnsi="Arial" w:cs="Arial"/>
          <w:sz w:val="24"/>
          <w:szCs w:val="24"/>
        </w:rPr>
        <w:t>aﬁnidad</w:t>
      </w:r>
      <w:proofErr w:type="spellEnd"/>
      <w:r w:rsidRPr="002843F2">
        <w:rPr>
          <w:rFonts w:ascii="Arial" w:eastAsia="Arial" w:hAnsi="Arial" w:cs="Arial"/>
          <w:sz w:val="24"/>
          <w:szCs w:val="24"/>
        </w:rPr>
        <w:t xml:space="preserve"> o primero civil, ni vínculos comerciales, o cualquier otra circunstancia que pueda restarle independencia u objetividad a sus conceptos o actuaciones, con el administrador y/o los miembros del consejo de administración, cuando exista.</w:t>
      </w:r>
    </w:p>
    <w:p w14:paraId="7A9918E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55E7B8F4"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37</w:t>
      </w:r>
      <w:r w:rsidRPr="002843F2">
        <w:rPr>
          <w:rFonts w:ascii="Arial" w:eastAsia="Arial" w:hAnsi="Arial" w:cs="Arial"/>
          <w:sz w:val="24"/>
          <w:szCs w:val="24"/>
        </w:rPr>
        <w:t>. Modifíquese el Artículo 58 de la Ley 675 de 2001, el cual quedará así:</w:t>
      </w:r>
    </w:p>
    <w:p w14:paraId="35AF410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F5F9CD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58°. Solución de conflictos.</w:t>
      </w:r>
      <w:r w:rsidRPr="002843F2">
        <w:rPr>
          <w:rFonts w:ascii="Arial" w:eastAsia="Arial" w:hAnsi="Arial" w:cs="Arial"/>
          <w:sz w:val="24"/>
          <w:szCs w:val="24"/>
        </w:rPr>
        <w:t xml:space="preserve"> Para la solución de los conflictos que se presenten entre los propietarios o tenedores de la propiedad horizontal, o entre ellos y el administrador, el consejo de administración o cualquier otro órgano de dirección o control de la persona jurídica, en razón de la aplicación o interpretación de esta Ley, del reglamento de propiedad horizontal o del manual de convivencia, sin perjuicio de la competencia propia de las autoridades jurisdiccionales o administrativas, se podrá acudir a:</w:t>
      </w:r>
    </w:p>
    <w:p w14:paraId="320FB28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F40AC27" w14:textId="77777777" w:rsidR="002E19E4" w:rsidRPr="002843F2" w:rsidRDefault="002E19E4" w:rsidP="000E36E0">
      <w:pPr>
        <w:numPr>
          <w:ilvl w:val="0"/>
          <w:numId w:val="63"/>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b/>
          <w:color w:val="000000"/>
          <w:sz w:val="24"/>
          <w:szCs w:val="24"/>
        </w:rPr>
        <w:t>Comité de convivencia.</w:t>
      </w:r>
      <w:r w:rsidRPr="002843F2">
        <w:rPr>
          <w:rFonts w:ascii="Arial" w:eastAsia="Arial" w:hAnsi="Arial" w:cs="Arial"/>
          <w:color w:val="000000"/>
          <w:sz w:val="24"/>
          <w:szCs w:val="24"/>
        </w:rPr>
        <w:t xml:space="preserve">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propender continuadamente por el fortalecimiento de las relaciones de vecindad de conformidad a los condu</w:t>
      </w:r>
      <w:r w:rsidRPr="002843F2">
        <w:rPr>
          <w:rFonts w:ascii="Arial" w:eastAsia="Arial" w:hAnsi="Arial" w:cs="Arial"/>
          <w:sz w:val="24"/>
          <w:szCs w:val="24"/>
        </w:rPr>
        <w:t xml:space="preserve">ctas, </w:t>
      </w:r>
      <w:r w:rsidRPr="002843F2">
        <w:rPr>
          <w:rFonts w:ascii="Arial" w:eastAsia="Arial" w:hAnsi="Arial" w:cs="Arial"/>
          <w:color w:val="000000"/>
          <w:sz w:val="24"/>
          <w:szCs w:val="24"/>
        </w:rPr>
        <w:t>procedimientos, y sanciones establecidos en el manu</w:t>
      </w:r>
      <w:r w:rsidRPr="002843F2">
        <w:rPr>
          <w:rFonts w:ascii="Arial" w:eastAsia="Arial" w:hAnsi="Arial" w:cs="Arial"/>
          <w:sz w:val="24"/>
          <w:szCs w:val="24"/>
        </w:rPr>
        <w:t>al de convivencia</w:t>
      </w:r>
      <w:r w:rsidRPr="002843F2">
        <w:rPr>
          <w:rFonts w:ascii="Arial" w:eastAsia="Arial" w:hAnsi="Arial" w:cs="Arial"/>
          <w:color w:val="000000"/>
          <w:sz w:val="24"/>
          <w:szCs w:val="24"/>
        </w:rPr>
        <w:t xml:space="preserve">. Las consideraciones de este comité se consignarán en un acta, suscrita por las partes y por los miembros del comité y la participación en él será ad honorem. En las actuaciones de los comités de convivencia, deberán respetarse las garantías del debido proceso, la amigable composición y de la prevención de controversias. </w:t>
      </w:r>
    </w:p>
    <w:p w14:paraId="0F19161C"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p>
    <w:p w14:paraId="5071DDA7"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r w:rsidRPr="002843F2">
        <w:rPr>
          <w:rFonts w:ascii="Arial" w:eastAsia="Arial" w:hAnsi="Arial" w:cs="Arial"/>
          <w:color w:val="000000"/>
          <w:sz w:val="24"/>
          <w:szCs w:val="24"/>
        </w:rPr>
        <w:t>El Comité de Convivencia deberá garantizar la imparcialidad, publicidad, el debido proceso, así como el respeto a la amigable composición y la prevención de controversias. El acta suscrita por las partes y por los miembros del comité deberá preceder de unos tiempos adecuados para escuchar a las partes sobre las diferencias que han dado lugar a la controversia.</w:t>
      </w:r>
    </w:p>
    <w:p w14:paraId="3B513353"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sz w:val="24"/>
          <w:szCs w:val="24"/>
        </w:rPr>
      </w:pPr>
    </w:p>
    <w:p w14:paraId="352AC0F5"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r w:rsidRPr="002843F2">
        <w:rPr>
          <w:rFonts w:ascii="Arial" w:eastAsia="Arial" w:hAnsi="Arial" w:cs="Arial"/>
          <w:color w:val="000000"/>
          <w:sz w:val="24"/>
          <w:szCs w:val="24"/>
        </w:rPr>
        <w:t>Las Actuaciones que adelanten los Comités de Convivencia deberán constar en archivo físico o digital, relacionadas en las actas para la publicación y el debido archivo de la Propiedad Horizontal.</w:t>
      </w:r>
    </w:p>
    <w:p w14:paraId="44394D9F"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p>
    <w:p w14:paraId="6563A5B3" w14:textId="77777777" w:rsidR="002E19E4" w:rsidRPr="002843F2" w:rsidRDefault="002E19E4" w:rsidP="000E36E0">
      <w:pPr>
        <w:numPr>
          <w:ilvl w:val="0"/>
          <w:numId w:val="63"/>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Mecanismos alternos de solución de conflictos. Las partes podrán acudir para la solución de conflictos, a los mecanismos alternativos, de acuerdo con lo establecido en las normas legales que regulan la materia una vez se haya surtido el trámite descrito en el numeral anterior. Estos mecanismos podrán ser implementados por los jueces de paz, conciliadores y mediadores en equidad, conforme a sus competencias. </w:t>
      </w:r>
    </w:p>
    <w:p w14:paraId="3AD8B52B"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p>
    <w:p w14:paraId="26AB171A"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r w:rsidRPr="002843F2">
        <w:rPr>
          <w:rFonts w:ascii="Arial" w:eastAsia="Arial" w:hAnsi="Arial" w:cs="Arial"/>
          <w:color w:val="000000"/>
          <w:sz w:val="24"/>
          <w:szCs w:val="24"/>
        </w:rPr>
        <w:t>Los comités de convivencia de las copropiedades velarán por fomentar procesos de participación ciudadana con las comunidades, así mismo establecerán mecanismos de coordinación y colaboración con las comisiones de conciliación de las organizaciones comunales a fin de desarrollar planes, programas y proyectos conjuntos que fortalezcan los mecanismos alternativos de solución de conflictos.</w:t>
      </w:r>
    </w:p>
    <w:p w14:paraId="0CA20A2E"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3F6D2FFF"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Los comités de convivencia estarán integrados por un número impar de tres (3) o más personas y sus miembros serán elegidos por la asamblea general de copropietarios, para un período de un (1) año. </w:t>
      </w:r>
    </w:p>
    <w:p w14:paraId="5AD726B2"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0AF46B6F"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El propietario inicial al momento de la entrega de las unidades inmobiliarias deberá informar a los copropietarios de los deberes y obligaciones que implica vivir en un régimen de propiedad horizontal. Para estos efectos se entregará copia del Manual de Convivencia y deberán organizarse capacitaciones conjuntas o entrega de información personalizada. Con el propósito de disminuir los conflictos de convivencia en la propiedad horizontal.</w:t>
      </w:r>
    </w:p>
    <w:p w14:paraId="5DCA42F6"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3377B5B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3°.</w:t>
      </w:r>
      <w:r w:rsidRPr="002843F2">
        <w:rPr>
          <w:rFonts w:ascii="Arial" w:eastAsia="Arial" w:hAnsi="Arial" w:cs="Arial"/>
          <w:sz w:val="24"/>
          <w:szCs w:val="24"/>
        </w:rPr>
        <w:t xml:space="preserve"> El comité consagrado en el presente artículo, en ningún caso podrá imponer sanciones.</w:t>
      </w:r>
    </w:p>
    <w:p w14:paraId="1282882B"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34AEA1E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4:</w:t>
      </w:r>
      <w:r w:rsidRPr="002843F2">
        <w:rPr>
          <w:rFonts w:ascii="Arial" w:eastAsia="Arial" w:hAnsi="Arial" w:cs="Arial"/>
          <w:sz w:val="24"/>
          <w:szCs w:val="24"/>
        </w:rPr>
        <w:t xml:space="preserve"> Cuando se acuda a la autoridad jurisdiccional para resolver los </w:t>
      </w:r>
      <w:proofErr w:type="spellStart"/>
      <w:r w:rsidRPr="002843F2">
        <w:rPr>
          <w:rFonts w:ascii="Arial" w:eastAsia="Arial" w:hAnsi="Arial" w:cs="Arial"/>
          <w:sz w:val="24"/>
          <w:szCs w:val="24"/>
        </w:rPr>
        <w:t>conﬂictos</w:t>
      </w:r>
      <w:proofErr w:type="spellEnd"/>
      <w:r w:rsidRPr="002843F2">
        <w:rPr>
          <w:rFonts w:ascii="Arial" w:eastAsia="Arial" w:hAnsi="Arial" w:cs="Arial"/>
          <w:sz w:val="24"/>
          <w:szCs w:val="24"/>
        </w:rPr>
        <w:t xml:space="preserve"> referidos en el presente Artículo, será requisito de </w:t>
      </w:r>
      <w:proofErr w:type="spellStart"/>
      <w:r w:rsidRPr="002843F2">
        <w:rPr>
          <w:rFonts w:ascii="Arial" w:eastAsia="Arial" w:hAnsi="Arial" w:cs="Arial"/>
          <w:sz w:val="24"/>
          <w:szCs w:val="24"/>
        </w:rPr>
        <w:t>procedibilidad</w:t>
      </w:r>
      <w:proofErr w:type="spellEnd"/>
      <w:r w:rsidRPr="002843F2">
        <w:rPr>
          <w:rFonts w:ascii="Arial" w:eastAsia="Arial" w:hAnsi="Arial" w:cs="Arial"/>
          <w:sz w:val="24"/>
          <w:szCs w:val="24"/>
        </w:rPr>
        <w:t xml:space="preserve"> la realización de audiencia de conciliación. </w:t>
      </w:r>
    </w:p>
    <w:p w14:paraId="2A86E5CE"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7F94DF32" w14:textId="2C039A90" w:rsidR="00D332FC"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5.</w:t>
      </w:r>
      <w:r w:rsidR="00D332FC">
        <w:rPr>
          <w:rFonts w:ascii="Arial" w:eastAsia="Arial" w:hAnsi="Arial" w:cs="Arial"/>
          <w:sz w:val="24"/>
          <w:szCs w:val="24"/>
        </w:rPr>
        <w:t xml:space="preserve"> Los conflictos de convivencia que se susciten en las unidades de propiedad horizontal serán resueltos de conformidad con lo establecido en el reglamento de propiedad horizontal y podrán acudir a los servicios de conciliación y mediación en los Centros de Conciliación y Arbitraje.</w:t>
      </w:r>
    </w:p>
    <w:p w14:paraId="733C7F9E" w14:textId="77777777" w:rsidR="00D332FC" w:rsidRDefault="00D332FC" w:rsidP="002E19E4">
      <w:pPr>
        <w:tabs>
          <w:tab w:val="left" w:pos="3686"/>
        </w:tabs>
        <w:spacing w:after="0" w:line="240" w:lineRule="auto"/>
        <w:ind w:left="283"/>
        <w:jc w:val="both"/>
        <w:rPr>
          <w:rFonts w:ascii="Arial" w:eastAsia="Arial" w:hAnsi="Arial" w:cs="Arial"/>
          <w:sz w:val="24"/>
          <w:szCs w:val="24"/>
        </w:rPr>
      </w:pPr>
    </w:p>
    <w:p w14:paraId="17E46FB1" w14:textId="2D49AE0D" w:rsidR="002E19E4" w:rsidRDefault="00D332FC" w:rsidP="002E19E4">
      <w:pPr>
        <w:tabs>
          <w:tab w:val="left" w:pos="3686"/>
        </w:tabs>
        <w:spacing w:after="0" w:line="240" w:lineRule="auto"/>
        <w:jc w:val="both"/>
        <w:rPr>
          <w:rFonts w:ascii="Arial" w:eastAsia="Arial" w:hAnsi="Arial" w:cs="Arial"/>
          <w:sz w:val="24"/>
          <w:szCs w:val="24"/>
        </w:rPr>
      </w:pPr>
      <w:r>
        <w:rPr>
          <w:rFonts w:ascii="Arial" w:eastAsia="Arial" w:hAnsi="Arial" w:cs="Arial"/>
          <w:sz w:val="24"/>
          <w:szCs w:val="24"/>
        </w:rPr>
        <w:t xml:space="preserve">Los Centros de Conciliación de las Cámaras de Comercio desarrollarán actividades de educación y promoción de los mecanismos alternativos de solución de conflictos que se generen entre copropietarios, así como, los ocurridos entre la copropiedad y la administración para los estratos 1, 2 y 3 sin costo alguno. </w:t>
      </w:r>
    </w:p>
    <w:p w14:paraId="56DB7BAD" w14:textId="77777777" w:rsidR="00D332FC" w:rsidRPr="002843F2" w:rsidRDefault="00D332FC" w:rsidP="002E19E4">
      <w:pPr>
        <w:tabs>
          <w:tab w:val="left" w:pos="3686"/>
        </w:tabs>
        <w:spacing w:after="0" w:line="240" w:lineRule="auto"/>
        <w:jc w:val="both"/>
        <w:rPr>
          <w:rFonts w:ascii="Arial" w:eastAsia="Arial" w:hAnsi="Arial" w:cs="Arial"/>
          <w:sz w:val="24"/>
          <w:szCs w:val="24"/>
        </w:rPr>
      </w:pPr>
    </w:p>
    <w:p w14:paraId="319D9924"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38</w:t>
      </w:r>
      <w:r w:rsidRPr="002843F2">
        <w:rPr>
          <w:rFonts w:ascii="Arial" w:eastAsia="Arial" w:hAnsi="Arial" w:cs="Arial"/>
          <w:sz w:val="24"/>
          <w:szCs w:val="24"/>
        </w:rPr>
        <w:t>. Adiciónese el Artículo 58A a la Ley 675 de 2001, el cual quedará así:</w:t>
      </w:r>
    </w:p>
    <w:p w14:paraId="0608CAA1"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A52401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lastRenderedPageBreak/>
        <w:t>Artículo 58A. Manual de convivencia.</w:t>
      </w:r>
      <w:r w:rsidRPr="002843F2">
        <w:rPr>
          <w:rFonts w:ascii="Arial" w:eastAsia="Arial" w:hAnsi="Arial" w:cs="Arial"/>
          <w:sz w:val="24"/>
          <w:szCs w:val="24"/>
        </w:rPr>
        <w:t xml:space="preserve">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14:paraId="607124F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FA31E0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El manual de convivencia deberá contener como mínimo el desarrollo de las funciones asignadas al comité de convivencia, los horarios de uso de los bienes comunes, las sanciones por su incumplimiento y los procedimientos a aplicar.   </w:t>
      </w:r>
    </w:p>
    <w:p w14:paraId="5FC48CC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25A513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Ministerio del Interior, el Consejo Nacional de Propiedad Horizontal y las Cámaras de Comercio podrán ofrecer programas de capacitación a los órganos de administración de la Propiedad Horizontal competentes para la elaboración de los manuales de convivencia.</w:t>
      </w:r>
    </w:p>
    <w:p w14:paraId="2DEB76E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D3DBC1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 </w:t>
      </w:r>
    </w:p>
    <w:p w14:paraId="0466547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4C422D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ningún caso, el manual de convivencia podrá contradecir lo dispuesto en el reglamento de propiedad horizontal, en esta Ley o demás Leyes sobre la materia, las que la modifiquen o reemplacen. En caso de inexistencia de norma en el manual que regule el conflicto, se aplicarán en su orden la Ley o el Reglamento.</w:t>
      </w:r>
    </w:p>
    <w:p w14:paraId="53796D5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4659220"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7A3D3CD"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Artículo 39</w:t>
      </w:r>
      <w:r w:rsidRPr="002843F2">
        <w:rPr>
          <w:rFonts w:ascii="Arial" w:eastAsia="Arial" w:hAnsi="Arial" w:cs="Arial"/>
          <w:sz w:val="24"/>
          <w:szCs w:val="24"/>
        </w:rPr>
        <w:t>. Adiciónese el Artículo 58B a la Ley 675 de 2001, el cual quedará así:</w:t>
      </w:r>
    </w:p>
    <w:p w14:paraId="63015B2D"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4613C95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58B°. Protocolo violencia intrafamiliar.</w:t>
      </w:r>
      <w:r w:rsidRPr="002843F2">
        <w:rPr>
          <w:rFonts w:ascii="Arial" w:eastAsia="Arial" w:hAnsi="Arial" w:cs="Arial"/>
          <w:sz w:val="24"/>
          <w:szCs w:val="24"/>
        </w:rPr>
        <w:t xml:space="preserve"> La Propiedad Horizontal deberá contar con un protocolo de articulación con las entidades competentes, a fin de activar la ruta cuando en la propiedad horizontal se presenten casos de violencia intrafamiliar. </w:t>
      </w:r>
    </w:p>
    <w:p w14:paraId="0020732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7EDDFB3"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Ministerio de Justicia y del Derecho deberá reglamentar la implementación de los protocolos de atención de violencia intrafamiliar dentro de los seis (6) meses siguientes a la sanción de la Ley.</w:t>
      </w:r>
    </w:p>
    <w:p w14:paraId="7BABDBF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B23CB8A"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77441105" w14:textId="77777777"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 xml:space="preserve">Artículo 40. </w:t>
      </w:r>
      <w:r w:rsidRPr="002843F2">
        <w:rPr>
          <w:rFonts w:ascii="Arial" w:eastAsia="Arial" w:hAnsi="Arial" w:cs="Arial"/>
          <w:sz w:val="24"/>
          <w:szCs w:val="24"/>
        </w:rPr>
        <w:t>Modifíquese el Artículo 59 a la Ley 675 de 2001, el cual quedará así:</w:t>
      </w:r>
    </w:p>
    <w:p w14:paraId="094DED3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D934A4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59°. Clases de sanciones por incumplimiento de obligaciones.</w:t>
      </w:r>
      <w:r w:rsidRPr="002843F2">
        <w:rPr>
          <w:rFonts w:ascii="Arial" w:eastAsia="Arial" w:hAnsi="Arial" w:cs="Arial"/>
          <w:sz w:val="24"/>
          <w:szCs w:val="24"/>
        </w:rPr>
        <w:t xml:space="preserve"> El incumplimiento de las obligaciones no pecuniarias consagradas en la Ley o en el </w:t>
      </w:r>
      <w:r w:rsidRPr="002843F2">
        <w:rPr>
          <w:rFonts w:ascii="Arial" w:eastAsia="Arial" w:hAnsi="Arial" w:cs="Arial"/>
          <w:sz w:val="24"/>
          <w:szCs w:val="24"/>
        </w:rPr>
        <w:lastRenderedPageBreak/>
        <w:t>reglamento de propiedad horizontal y manual de convivencia aprobado por la asamblea de copropietarios, por parte de los propietarios, poseedores, tenedores o terceros por los que estos deban responder en los términos de la Ley, dará lugar, bajo el respeto del debido proceso y previo requerimiento escrito, con indicación del plazo para que se ajuste a las normas que rigen la propiedad horizontal, si a ello hubiere lugar, a la imposición de las siguientes sanciones:</w:t>
      </w:r>
    </w:p>
    <w:p w14:paraId="6694543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36F8916" w14:textId="77777777" w:rsidR="002E19E4" w:rsidRPr="002843F2" w:rsidRDefault="002E19E4" w:rsidP="000E36E0">
      <w:pPr>
        <w:numPr>
          <w:ilvl w:val="0"/>
          <w:numId w:val="64"/>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Publicación en lugares de amplia circulación de la propiedad horizontal de la lista de los infractores con indicación expresa del hecho o acto que origina la sanción. Cualquier información sensible y/o privada de las personas que se llegue a obtener no puede, en ningún caso, ser objeto de publicación o difusión, so pena de que contra tal conducta sea censurada a través del control concreto de constitucionalidad.</w:t>
      </w:r>
    </w:p>
    <w:p w14:paraId="48EAF94B" w14:textId="77777777" w:rsidR="002E19E4" w:rsidRPr="002843F2" w:rsidRDefault="002E19E4" w:rsidP="000E36E0">
      <w:pPr>
        <w:numPr>
          <w:ilvl w:val="0"/>
          <w:numId w:val="64"/>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 xml:space="preserve">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w:t>
      </w:r>
    </w:p>
    <w:p w14:paraId="796A8616" w14:textId="77777777" w:rsidR="002E19E4" w:rsidRPr="002843F2" w:rsidRDefault="002E19E4" w:rsidP="000E36E0">
      <w:pPr>
        <w:numPr>
          <w:ilvl w:val="0"/>
          <w:numId w:val="64"/>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Restricción al uso y goce de bienes de uso común no esenciales, como salones comunales y zonas de recreación y deporte, entre otros, salvo para menores de 18 años.</w:t>
      </w:r>
    </w:p>
    <w:p w14:paraId="06A70404"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5051B10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En ningún caso se podrá restringir el uso de bienes comunes esenciales o de aquellos destinados al uso exclusivo.</w:t>
      </w:r>
    </w:p>
    <w:p w14:paraId="6901D78C"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06B70CE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El inicio y la terminación de procesos por el incumplimiento de obligaciones contra tenedores, adelantados de acuerdo con este artículo, deben ser informados al respectivo copropietario.</w:t>
      </w:r>
    </w:p>
    <w:p w14:paraId="7F4038C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98B01F5" w14:textId="77777777" w:rsidR="00831794" w:rsidRDefault="00831794" w:rsidP="002E19E4">
      <w:pPr>
        <w:tabs>
          <w:tab w:val="left" w:pos="3686"/>
        </w:tabs>
        <w:spacing w:after="0" w:line="240" w:lineRule="auto"/>
        <w:jc w:val="both"/>
        <w:rPr>
          <w:rFonts w:ascii="Arial" w:eastAsia="Arial" w:hAnsi="Arial" w:cs="Arial"/>
          <w:b/>
          <w:sz w:val="24"/>
          <w:szCs w:val="24"/>
        </w:rPr>
      </w:pPr>
    </w:p>
    <w:p w14:paraId="7ED4734E" w14:textId="2FDF64A2" w:rsidR="00831794" w:rsidRDefault="00831794" w:rsidP="0083179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41</w:t>
      </w:r>
      <w:r w:rsidRPr="002843F2">
        <w:rPr>
          <w:rFonts w:ascii="Arial" w:eastAsia="Arial" w:hAnsi="Arial" w:cs="Arial"/>
          <w:b/>
          <w:sz w:val="24"/>
          <w:szCs w:val="24"/>
        </w:rPr>
        <w:t xml:space="preserve">. </w:t>
      </w:r>
      <w:r>
        <w:rPr>
          <w:rFonts w:ascii="Arial" w:eastAsia="Arial" w:hAnsi="Arial" w:cs="Arial"/>
          <w:sz w:val="24"/>
          <w:szCs w:val="24"/>
        </w:rPr>
        <w:t>Modifíquese el Artículo 74 de</w:t>
      </w:r>
      <w:r w:rsidR="00712160">
        <w:rPr>
          <w:rFonts w:ascii="Arial" w:eastAsia="Arial" w:hAnsi="Arial" w:cs="Arial"/>
          <w:sz w:val="24"/>
          <w:szCs w:val="24"/>
        </w:rPr>
        <w:t xml:space="preserve"> la</w:t>
      </w:r>
      <w:r w:rsidRPr="002843F2">
        <w:rPr>
          <w:rFonts w:ascii="Arial" w:eastAsia="Arial" w:hAnsi="Arial" w:cs="Arial"/>
          <w:sz w:val="24"/>
          <w:szCs w:val="24"/>
        </w:rPr>
        <w:t xml:space="preserve"> 675 de 2001, el cual quedará así:</w:t>
      </w:r>
    </w:p>
    <w:p w14:paraId="0314D1E5" w14:textId="77777777" w:rsidR="00712160" w:rsidRDefault="00712160" w:rsidP="00831794">
      <w:pPr>
        <w:tabs>
          <w:tab w:val="left" w:pos="3686"/>
        </w:tabs>
        <w:spacing w:after="0" w:line="240" w:lineRule="auto"/>
        <w:jc w:val="both"/>
        <w:rPr>
          <w:rFonts w:ascii="Arial" w:eastAsia="Arial" w:hAnsi="Arial" w:cs="Arial"/>
          <w:sz w:val="24"/>
          <w:szCs w:val="24"/>
        </w:rPr>
      </w:pPr>
    </w:p>
    <w:p w14:paraId="229D2E0D" w14:textId="073FB565" w:rsidR="00712160" w:rsidRPr="00712160" w:rsidRDefault="00712160" w:rsidP="00712160">
      <w:pPr>
        <w:spacing w:before="150" w:after="150" w:line="240" w:lineRule="auto"/>
        <w:jc w:val="both"/>
        <w:outlineLvl w:val="2"/>
        <w:rPr>
          <w:rFonts w:ascii="Arial" w:eastAsia="Times New Roman" w:hAnsi="Arial" w:cs="Arial"/>
          <w:b/>
          <w:bCs/>
          <w:color w:val="000000"/>
          <w:sz w:val="24"/>
          <w:szCs w:val="24"/>
          <w:lang w:eastAsia="es-CO"/>
        </w:rPr>
      </w:pPr>
      <w:r w:rsidRPr="00712160">
        <w:rPr>
          <w:rFonts w:ascii="Arial" w:eastAsia="Times New Roman" w:hAnsi="Arial" w:cs="Arial"/>
          <w:b/>
          <w:bCs/>
          <w:color w:val="000000"/>
          <w:sz w:val="24"/>
          <w:szCs w:val="24"/>
          <w:lang w:eastAsia="es-CO"/>
        </w:rPr>
        <w:t>ARTÍCULO 74. NIVELES DE INMISIÓN TOLERABLES.</w:t>
      </w:r>
      <w:r>
        <w:rPr>
          <w:rFonts w:ascii="Arial" w:eastAsia="Times New Roman" w:hAnsi="Arial" w:cs="Arial"/>
          <w:b/>
          <w:bCs/>
          <w:color w:val="000000"/>
          <w:sz w:val="24"/>
          <w:szCs w:val="24"/>
          <w:lang w:eastAsia="es-CO"/>
        </w:rPr>
        <w:t xml:space="preserve"> </w:t>
      </w:r>
      <w:r w:rsidRPr="00712160">
        <w:rPr>
          <w:rFonts w:ascii="Arial" w:eastAsia="Times New Roman" w:hAnsi="Arial" w:cs="Arial"/>
          <w:color w:val="333333"/>
          <w:sz w:val="24"/>
          <w:szCs w:val="24"/>
          <w:lang w:eastAsia="es-CO"/>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14:paraId="2AAB5130" w14:textId="7491C87C" w:rsidR="00712160" w:rsidRDefault="00712160" w:rsidP="00712160">
      <w:pPr>
        <w:spacing w:after="0" w:line="240" w:lineRule="auto"/>
        <w:jc w:val="both"/>
        <w:rPr>
          <w:rFonts w:ascii="Arial" w:eastAsia="Times New Roman" w:hAnsi="Arial" w:cs="Arial"/>
          <w:color w:val="333333"/>
          <w:sz w:val="24"/>
          <w:szCs w:val="24"/>
          <w:lang w:eastAsia="es-CO"/>
        </w:rPr>
      </w:pPr>
      <w:r w:rsidRPr="00712160">
        <w:rPr>
          <w:rFonts w:ascii="Arial" w:eastAsia="Times New Roman" w:hAnsi="Arial" w:cs="Arial"/>
          <w:color w:val="333333"/>
          <w:sz w:val="24"/>
          <w:szCs w:val="24"/>
          <w:lang w:eastAsia="es-CO"/>
        </w:rPr>
        <w:t>Tales niveles de incidencia o inmisión serán determinados por las autoridades sanitarias, urbanísticas y de policía; con todo podrán ser regulados en forma aún más restrictiva en los reglamentos de las Unidades Inmobiliarias Cerradas o po</w:t>
      </w:r>
      <w:r>
        <w:rPr>
          <w:rFonts w:ascii="Arial" w:eastAsia="Times New Roman" w:hAnsi="Arial" w:cs="Arial"/>
          <w:color w:val="333333"/>
          <w:sz w:val="24"/>
          <w:szCs w:val="24"/>
          <w:lang w:eastAsia="es-CO"/>
        </w:rPr>
        <w:t>r la Asamblea de Copropietarios.</w:t>
      </w:r>
    </w:p>
    <w:p w14:paraId="2097A496" w14:textId="77777777" w:rsidR="00712160" w:rsidRPr="00712160" w:rsidRDefault="00712160" w:rsidP="00712160">
      <w:pPr>
        <w:spacing w:after="0" w:line="240" w:lineRule="auto"/>
        <w:jc w:val="both"/>
        <w:rPr>
          <w:rFonts w:ascii="Arial" w:eastAsia="Times New Roman" w:hAnsi="Arial" w:cs="Arial"/>
          <w:color w:val="333333"/>
          <w:sz w:val="24"/>
          <w:szCs w:val="24"/>
          <w:lang w:eastAsia="es-CO"/>
        </w:rPr>
      </w:pPr>
    </w:p>
    <w:p w14:paraId="09565C7C" w14:textId="2065C65C" w:rsidR="00712160" w:rsidRPr="00712160" w:rsidRDefault="00712160" w:rsidP="00712160">
      <w:pPr>
        <w:spacing w:after="0" w:line="240" w:lineRule="auto"/>
        <w:jc w:val="both"/>
        <w:rPr>
          <w:rFonts w:ascii="Arial" w:eastAsia="Times New Roman" w:hAnsi="Arial" w:cs="Arial"/>
          <w:color w:val="333333"/>
          <w:sz w:val="24"/>
          <w:szCs w:val="24"/>
          <w:lang w:eastAsia="es-CO"/>
        </w:rPr>
      </w:pPr>
      <w:r w:rsidRPr="00712160">
        <w:rPr>
          <w:rFonts w:ascii="Arial" w:eastAsia="Times New Roman" w:hAnsi="Arial" w:cs="Arial"/>
          <w:b/>
          <w:color w:val="333333"/>
          <w:sz w:val="24"/>
          <w:szCs w:val="24"/>
          <w:lang w:eastAsia="es-CO"/>
        </w:rPr>
        <w:t>PARÁGRAFO.</w:t>
      </w:r>
      <w:r w:rsidRPr="00712160">
        <w:rPr>
          <w:rFonts w:ascii="Arial" w:eastAsia="Times New Roman" w:hAnsi="Arial" w:cs="Arial"/>
          <w:color w:val="333333"/>
          <w:sz w:val="24"/>
          <w:szCs w:val="24"/>
          <w:lang w:eastAsia="es-CO"/>
        </w:rPr>
        <w:t xml:space="preserve"> Los reglamentos de las Unidades Inmobiliarias Cerradas establecerán los requisitos para la permanencia de mascotas (animales </w:t>
      </w:r>
      <w:r w:rsidRPr="00712160">
        <w:rPr>
          <w:rFonts w:ascii="Arial" w:eastAsia="Times New Roman" w:hAnsi="Arial" w:cs="Arial"/>
          <w:color w:val="333333"/>
          <w:sz w:val="24"/>
          <w:szCs w:val="24"/>
          <w:lang w:eastAsia="es-CO"/>
        </w:rPr>
        <w:lastRenderedPageBreak/>
        <w:t>domésticos).</w:t>
      </w:r>
      <w:r>
        <w:rPr>
          <w:rFonts w:ascii="Arial" w:eastAsia="Times New Roman" w:hAnsi="Arial" w:cs="Arial"/>
          <w:color w:val="333333"/>
          <w:sz w:val="24"/>
          <w:szCs w:val="24"/>
          <w:lang w:eastAsia="es-CO"/>
        </w:rPr>
        <w:t xml:space="preserve"> Los animales domésticos o mascotas no podrán deambular libremente o habitar en las zonas comunes de propiedades horizontales o conjuntos residenciales; tampoco tendrán restricción alguna de acceso o permanencia en estas zonas cuando vayan bajo la supervisión de sus tenedores o dueños y deberán ir sujetos por medio de traílla; en el caso de los caninos de manejo especial, deberán ir provistos de bozal y el correspondiente permiso, de conformidad con la normatividad vigente.</w:t>
      </w:r>
    </w:p>
    <w:p w14:paraId="50C4F15E" w14:textId="77777777" w:rsidR="00712160" w:rsidRDefault="00712160" w:rsidP="00831794">
      <w:pPr>
        <w:tabs>
          <w:tab w:val="left" w:pos="3686"/>
        </w:tabs>
        <w:spacing w:after="0" w:line="240" w:lineRule="auto"/>
        <w:jc w:val="both"/>
        <w:rPr>
          <w:rFonts w:ascii="Arial" w:eastAsia="Arial" w:hAnsi="Arial" w:cs="Arial"/>
          <w:sz w:val="24"/>
          <w:szCs w:val="24"/>
        </w:rPr>
      </w:pPr>
    </w:p>
    <w:p w14:paraId="22431989" w14:textId="77777777" w:rsidR="009923F8" w:rsidRDefault="009923F8" w:rsidP="002E19E4">
      <w:pPr>
        <w:tabs>
          <w:tab w:val="left" w:pos="3686"/>
        </w:tabs>
        <w:spacing w:after="0" w:line="240" w:lineRule="auto"/>
        <w:jc w:val="both"/>
        <w:rPr>
          <w:rFonts w:ascii="Arial" w:eastAsia="Arial" w:hAnsi="Arial" w:cs="Arial"/>
          <w:b/>
          <w:sz w:val="24"/>
          <w:szCs w:val="24"/>
        </w:rPr>
      </w:pPr>
    </w:p>
    <w:p w14:paraId="03376A40" w14:textId="77777777" w:rsidR="009923F8" w:rsidRDefault="009923F8" w:rsidP="002E19E4">
      <w:pPr>
        <w:tabs>
          <w:tab w:val="left" w:pos="3686"/>
        </w:tabs>
        <w:spacing w:after="0" w:line="240" w:lineRule="auto"/>
        <w:jc w:val="both"/>
        <w:rPr>
          <w:rFonts w:ascii="Arial" w:eastAsia="Arial" w:hAnsi="Arial" w:cs="Arial"/>
          <w:b/>
          <w:sz w:val="24"/>
          <w:szCs w:val="24"/>
        </w:rPr>
      </w:pPr>
    </w:p>
    <w:p w14:paraId="7FF3C5AE" w14:textId="77777777" w:rsidR="009923F8" w:rsidRDefault="009923F8" w:rsidP="002E19E4">
      <w:pPr>
        <w:tabs>
          <w:tab w:val="left" w:pos="3686"/>
        </w:tabs>
        <w:spacing w:after="0" w:line="240" w:lineRule="auto"/>
        <w:jc w:val="both"/>
        <w:rPr>
          <w:rFonts w:ascii="Arial" w:eastAsia="Arial" w:hAnsi="Arial" w:cs="Arial"/>
          <w:b/>
          <w:sz w:val="24"/>
          <w:szCs w:val="24"/>
        </w:rPr>
      </w:pPr>
    </w:p>
    <w:p w14:paraId="5DCEF12C" w14:textId="5B6A785D"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42</w:t>
      </w:r>
      <w:r w:rsidR="002E19E4" w:rsidRPr="002843F2">
        <w:rPr>
          <w:rFonts w:ascii="Arial" w:eastAsia="Arial" w:hAnsi="Arial" w:cs="Arial"/>
          <w:b/>
          <w:sz w:val="24"/>
          <w:szCs w:val="24"/>
        </w:rPr>
        <w:t>.</w:t>
      </w:r>
      <w:r w:rsidR="002E19E4" w:rsidRPr="002843F2">
        <w:rPr>
          <w:rFonts w:ascii="Arial" w:eastAsia="Arial" w:hAnsi="Arial" w:cs="Arial"/>
          <w:sz w:val="24"/>
          <w:szCs w:val="24"/>
        </w:rPr>
        <w:t xml:space="preserve"> Adiciónese un artículo nuevo a la Ley 675 de 2001, el cual quedará así:</w:t>
      </w:r>
    </w:p>
    <w:p w14:paraId="67071EE4"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738FEF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88. Accesibilidad para personas con discapacidad.</w:t>
      </w:r>
      <w:r w:rsidRPr="002843F2">
        <w:rPr>
          <w:rFonts w:ascii="Arial" w:eastAsia="Arial" w:hAnsi="Arial" w:cs="Arial"/>
          <w:sz w:val="24"/>
          <w:szCs w:val="24"/>
        </w:rPr>
        <w:t xml:space="preserve"> Las unidades inmobiliarias cerradas deberán ser accesibles para las personas con discapacidad, para ello, la infraestructura y reglamentos de estas unidades no pueden comportar barreras físicas, comunicativas o actitudinales que imposibiliten o dificulten el ejercicio y goce efectivo de derechos por parte de la población con discapacidad.</w:t>
      </w:r>
    </w:p>
    <w:p w14:paraId="009A70C0"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FE4248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Las unidades inmobiliarias cerradas existentes al momento de la entrada en vigencia de esta Ley podrán realizar las adecuaciones para garantizar la accesibilidad de personas con discapacidad de manera progresiva.</w:t>
      </w:r>
    </w:p>
    <w:p w14:paraId="2E594FE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35AB9C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La exigencia de accesibilidad será de aplicación inmediata para las unidades inmobiliarias cerradas cuya construcción inicie con posterioridad a la entrada en vigencia de esta Ley.</w:t>
      </w:r>
    </w:p>
    <w:p w14:paraId="3A95692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0F0961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Siempre que un residente o propietario lo solicite de manera expresa, la propiedad horizontal deberá realizar los ajustes razonables correspondientes para que su reglamento sea accesible para las personas con discapacidad.</w:t>
      </w:r>
    </w:p>
    <w:p w14:paraId="78BA2F9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19C19CA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3A2E3C5" w14:textId="5A3EA242"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43</w:t>
      </w:r>
      <w:r w:rsidR="002E19E4" w:rsidRPr="002843F2">
        <w:rPr>
          <w:rFonts w:ascii="Arial" w:eastAsia="Arial" w:hAnsi="Arial" w:cs="Arial"/>
          <w:b/>
          <w:sz w:val="24"/>
          <w:szCs w:val="24"/>
        </w:rPr>
        <w:t>.</w:t>
      </w:r>
      <w:r w:rsidR="002E19E4" w:rsidRPr="002843F2">
        <w:rPr>
          <w:rFonts w:ascii="Arial" w:eastAsia="Arial" w:hAnsi="Arial" w:cs="Arial"/>
          <w:sz w:val="24"/>
          <w:szCs w:val="24"/>
        </w:rPr>
        <w:t xml:space="preserve"> Adiciónese un artículo nuevo a la Ley 675 de 2001, el cual quedará así:</w:t>
      </w:r>
    </w:p>
    <w:p w14:paraId="0B08CC2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B8C572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89. Accesibilidad para personas con discapacidad en la deliberación.</w:t>
      </w:r>
      <w:r w:rsidRPr="002843F2">
        <w:rPr>
          <w:rFonts w:ascii="Arial" w:eastAsia="Arial" w:hAnsi="Arial" w:cs="Arial"/>
          <w:sz w:val="24"/>
          <w:szCs w:val="24"/>
        </w:rPr>
        <w:t xml:space="preserve"> Se deberá garantizar la accesibilidad de las personas en condición de discapacidad en todos los espacios de deliberación y votación de la Asamblea General, el Consejo de Administración o cualquiera de las autoridades internas -sean o no presenciales- de la propiedad horizontal. Se deberán adoptar todos los ajustes razonables que sean necesarios para tal fin.</w:t>
      </w:r>
    </w:p>
    <w:p w14:paraId="01F90183"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8BBBFDA"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En caso tal que la Asamblea General, el Consejo de Administración o cualquiera de las autoridades internas de la propiedad horizontal no garantice la participación de los propietarios y residentes con discapacidad en condiciones de </w:t>
      </w:r>
      <w:r w:rsidRPr="002843F2">
        <w:rPr>
          <w:rFonts w:ascii="Arial" w:eastAsia="Arial" w:hAnsi="Arial" w:cs="Arial"/>
          <w:sz w:val="24"/>
          <w:szCs w:val="24"/>
        </w:rPr>
        <w:lastRenderedPageBreak/>
        <w:t>igualdad y accesibilidad en las reuniones que se realicen, las decisiones que allí se tomen no serán de obligatorio cumplimiento para las personas con discapacidad.</w:t>
      </w:r>
    </w:p>
    <w:p w14:paraId="65BBF00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5F51C1B"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57441B89" w14:textId="49218026"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44</w:t>
      </w:r>
      <w:r w:rsidR="002E19E4" w:rsidRPr="002843F2">
        <w:rPr>
          <w:rFonts w:ascii="Arial" w:eastAsia="Arial" w:hAnsi="Arial" w:cs="Arial"/>
          <w:b/>
          <w:sz w:val="24"/>
          <w:szCs w:val="24"/>
        </w:rPr>
        <w:t>.</w:t>
      </w:r>
      <w:r w:rsidR="002E19E4" w:rsidRPr="002843F2">
        <w:rPr>
          <w:rFonts w:ascii="Arial" w:eastAsia="Arial" w:hAnsi="Arial" w:cs="Arial"/>
          <w:sz w:val="24"/>
          <w:szCs w:val="24"/>
        </w:rPr>
        <w:t xml:space="preserve"> Adiciónese el Artículo 3A a la Ley 675 de 2001, el cual quedará así:</w:t>
      </w:r>
    </w:p>
    <w:p w14:paraId="6AE14DFA"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0796FA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90. Uso de las tecnologías de la información y las comunicaciones</w:t>
      </w:r>
      <w:r w:rsidRPr="002843F2">
        <w:rPr>
          <w:rFonts w:ascii="Arial" w:eastAsia="Arial" w:hAnsi="Arial" w:cs="Arial"/>
          <w:sz w:val="24"/>
          <w:szCs w:val="24"/>
        </w:rPr>
        <w:t>. El uso y apropiación de las tecnologías de la información y las comunicaciones en la propiedad horizontal deberá realizarse progresivamente y en atención con las disposiciones legales vigentes respecto de la Ley de habeas data, reserva y derecho de información.</w:t>
      </w:r>
    </w:p>
    <w:p w14:paraId="2DBD08A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8019DDF"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La propiedad horizontal acorde a sus capacidades presupuestales podrá habilitar un servicio almacenamiento de archivos en línea para contenido estático,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información completa de los integrantes del consejo de administración y del comité de convivencia, actas de las asambleas generales y de las reuniones de los consejos de administración, así como de los comités de convivencia y toda la información referente a los órganos de administración y gobierno. </w:t>
      </w:r>
    </w:p>
    <w:p w14:paraId="01125E7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38BF992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el servicio de alojamiento o almacenamiento de archivos en línea para contenido estático, página web o en cualquier medio telemático usado se deberá informar las líneas y correos de atención a los copropietarios y los correos electrónicos de los órganos de administración y gobierno.</w:t>
      </w:r>
    </w:p>
    <w:p w14:paraId="296372C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736A956"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370B23CE" w14:textId="59E9B83F"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45</w:t>
      </w:r>
      <w:r w:rsidR="002E19E4" w:rsidRPr="002843F2">
        <w:rPr>
          <w:rFonts w:ascii="Arial" w:eastAsia="Arial" w:hAnsi="Arial" w:cs="Arial"/>
          <w:sz w:val="24"/>
          <w:szCs w:val="24"/>
        </w:rPr>
        <w:t>. Adiciónese un Artículo nuevo la Ley 675 de 2001, el cual quedará así:</w:t>
      </w:r>
    </w:p>
    <w:p w14:paraId="41696E54"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04BA53DA" w14:textId="43090AFF"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91. Actividades de reciclaje.</w:t>
      </w:r>
      <w:r w:rsidRPr="002843F2">
        <w:rPr>
          <w:rFonts w:ascii="Arial" w:eastAsia="Arial" w:hAnsi="Arial" w:cs="Arial"/>
          <w:sz w:val="24"/>
          <w:szCs w:val="24"/>
        </w:rPr>
        <w:t xml:space="preserve"> </w:t>
      </w:r>
      <w:r w:rsidR="000B665B">
        <w:rPr>
          <w:rFonts w:ascii="Arial" w:eastAsia="Arial" w:hAnsi="Arial" w:cs="Arial"/>
          <w:sz w:val="24"/>
          <w:szCs w:val="24"/>
        </w:rPr>
        <w:t>Las propiedades horizontales deberán</w:t>
      </w:r>
      <w:r w:rsidRPr="002843F2">
        <w:rPr>
          <w:rFonts w:ascii="Arial" w:eastAsia="Arial" w:hAnsi="Arial" w:cs="Arial"/>
          <w:sz w:val="24"/>
          <w:szCs w:val="24"/>
        </w:rPr>
        <w:t xml:space="preserve"> implementar de manera gradual, procesos de reciclaje, con la disposición de espacios o contenedores para la separación de residuos aprovechables, orgánicos, no aprovechables, peligrosos y no peligrosos, incluyendo como mínimo la separación de elementos de vidrio, cartón, papel, plástico, pilas y aceite de cocina usado.</w:t>
      </w:r>
    </w:p>
    <w:p w14:paraId="7B2F82AC" w14:textId="77777777" w:rsidR="002E19E4" w:rsidRDefault="002E19E4" w:rsidP="002E19E4">
      <w:pPr>
        <w:tabs>
          <w:tab w:val="left" w:pos="3686"/>
        </w:tabs>
        <w:spacing w:after="0" w:line="240" w:lineRule="auto"/>
        <w:jc w:val="both"/>
        <w:rPr>
          <w:rFonts w:ascii="Arial" w:eastAsia="Arial" w:hAnsi="Arial" w:cs="Arial"/>
          <w:b/>
          <w:sz w:val="24"/>
          <w:szCs w:val="24"/>
        </w:rPr>
      </w:pPr>
    </w:p>
    <w:p w14:paraId="4CF7BE3D" w14:textId="5E226E68" w:rsidR="000B665B" w:rsidRDefault="000B665B" w:rsidP="002E19E4">
      <w:pPr>
        <w:tabs>
          <w:tab w:val="left" w:pos="3686"/>
        </w:tabs>
        <w:spacing w:after="0" w:line="240" w:lineRule="auto"/>
        <w:jc w:val="both"/>
        <w:rPr>
          <w:rFonts w:ascii="Arial" w:eastAsia="Arial" w:hAnsi="Arial" w:cs="Arial"/>
          <w:sz w:val="24"/>
          <w:szCs w:val="24"/>
        </w:rPr>
      </w:pPr>
      <w:r w:rsidRPr="000B665B">
        <w:rPr>
          <w:rFonts w:ascii="Arial" w:eastAsia="Arial" w:hAnsi="Arial" w:cs="Arial"/>
          <w:sz w:val="24"/>
          <w:szCs w:val="24"/>
        </w:rPr>
        <w:t>Por su parte, las empresas prestadoras del servicio de aseo, adoptarán las medidas que tenga establecidas para los descuentos en materia de recolección.</w:t>
      </w:r>
    </w:p>
    <w:p w14:paraId="55C986EC" w14:textId="77777777" w:rsidR="000B665B" w:rsidRDefault="000B665B" w:rsidP="002E19E4">
      <w:pPr>
        <w:tabs>
          <w:tab w:val="left" w:pos="3686"/>
        </w:tabs>
        <w:spacing w:after="0" w:line="240" w:lineRule="auto"/>
        <w:jc w:val="both"/>
        <w:rPr>
          <w:rFonts w:ascii="Arial" w:eastAsia="Arial" w:hAnsi="Arial" w:cs="Arial"/>
          <w:sz w:val="24"/>
          <w:szCs w:val="24"/>
        </w:rPr>
      </w:pPr>
    </w:p>
    <w:p w14:paraId="69F28457" w14:textId="37CF8491" w:rsidR="000B665B" w:rsidRDefault="000B665B" w:rsidP="002E19E4">
      <w:pPr>
        <w:tabs>
          <w:tab w:val="left" w:pos="3686"/>
        </w:tabs>
        <w:spacing w:after="0" w:line="240" w:lineRule="auto"/>
        <w:jc w:val="both"/>
        <w:rPr>
          <w:rFonts w:ascii="Arial" w:eastAsia="Arial" w:hAnsi="Arial" w:cs="Arial"/>
          <w:sz w:val="24"/>
          <w:szCs w:val="24"/>
        </w:rPr>
      </w:pPr>
      <w:r w:rsidRPr="000B665B">
        <w:rPr>
          <w:rFonts w:ascii="Arial" w:eastAsia="Arial" w:hAnsi="Arial" w:cs="Arial"/>
          <w:b/>
          <w:sz w:val="24"/>
          <w:szCs w:val="24"/>
        </w:rPr>
        <w:t>Parágrafo 1.</w:t>
      </w:r>
      <w:r>
        <w:rPr>
          <w:rFonts w:ascii="Arial" w:eastAsia="Arial" w:hAnsi="Arial" w:cs="Arial"/>
          <w:sz w:val="24"/>
          <w:szCs w:val="24"/>
        </w:rPr>
        <w:t xml:space="preserve"> Para los efectos de este artículo, las propiedades horizontales en un término de 2 años tendrá</w:t>
      </w:r>
      <w:r w:rsidR="007074F2">
        <w:rPr>
          <w:rFonts w:ascii="Arial" w:eastAsia="Arial" w:hAnsi="Arial" w:cs="Arial"/>
          <w:sz w:val="24"/>
          <w:szCs w:val="24"/>
        </w:rPr>
        <w:t>n</w:t>
      </w:r>
      <w:r>
        <w:rPr>
          <w:rFonts w:ascii="Arial" w:eastAsia="Arial" w:hAnsi="Arial" w:cs="Arial"/>
          <w:sz w:val="24"/>
          <w:szCs w:val="24"/>
        </w:rPr>
        <w:t xml:space="preserve"> que implementar un protocolo de reciclaje.</w:t>
      </w:r>
    </w:p>
    <w:p w14:paraId="2F49DE88" w14:textId="77777777" w:rsidR="000B665B" w:rsidRDefault="000B665B" w:rsidP="002E19E4">
      <w:pPr>
        <w:tabs>
          <w:tab w:val="left" w:pos="3686"/>
        </w:tabs>
        <w:spacing w:after="0" w:line="240" w:lineRule="auto"/>
        <w:jc w:val="both"/>
        <w:rPr>
          <w:rFonts w:ascii="Arial" w:eastAsia="Arial" w:hAnsi="Arial" w:cs="Arial"/>
          <w:sz w:val="24"/>
          <w:szCs w:val="24"/>
        </w:rPr>
      </w:pPr>
    </w:p>
    <w:p w14:paraId="3FEAD63B" w14:textId="1E9355D2" w:rsidR="000B665B" w:rsidRDefault="000B665B" w:rsidP="002E19E4">
      <w:pPr>
        <w:tabs>
          <w:tab w:val="left" w:pos="3686"/>
        </w:tabs>
        <w:spacing w:after="0" w:line="240" w:lineRule="auto"/>
        <w:jc w:val="both"/>
        <w:rPr>
          <w:rFonts w:ascii="Arial" w:eastAsia="Arial" w:hAnsi="Arial" w:cs="Arial"/>
          <w:sz w:val="24"/>
          <w:szCs w:val="24"/>
        </w:rPr>
      </w:pPr>
      <w:r w:rsidRPr="000B665B">
        <w:rPr>
          <w:rFonts w:ascii="Arial" w:eastAsia="Arial" w:hAnsi="Arial" w:cs="Arial"/>
          <w:b/>
          <w:sz w:val="24"/>
          <w:szCs w:val="24"/>
        </w:rPr>
        <w:lastRenderedPageBreak/>
        <w:t>Parágrafo 2.</w:t>
      </w:r>
      <w:r>
        <w:rPr>
          <w:rFonts w:ascii="Arial" w:eastAsia="Arial" w:hAnsi="Arial" w:cs="Arial"/>
          <w:sz w:val="24"/>
          <w:szCs w:val="24"/>
        </w:rPr>
        <w:t xml:space="preserve"> El Ministerio del Medio Ambiente y Desarrollo Sostenible</w:t>
      </w:r>
      <w:r w:rsidR="007074F2">
        <w:rPr>
          <w:rFonts w:ascii="Arial" w:eastAsia="Arial" w:hAnsi="Arial" w:cs="Arial"/>
          <w:sz w:val="24"/>
          <w:szCs w:val="24"/>
        </w:rPr>
        <w:t xml:space="preserve"> dictará las pautas con las que las propiedades horizontales deberán implementar los protocolos de reciclaje.</w:t>
      </w:r>
    </w:p>
    <w:p w14:paraId="5A3DF4D8" w14:textId="77777777" w:rsidR="000B665B" w:rsidRPr="000B665B" w:rsidRDefault="000B665B" w:rsidP="002E19E4">
      <w:pPr>
        <w:tabs>
          <w:tab w:val="left" w:pos="3686"/>
        </w:tabs>
        <w:spacing w:after="0" w:line="240" w:lineRule="auto"/>
        <w:jc w:val="both"/>
        <w:rPr>
          <w:rFonts w:ascii="Arial" w:eastAsia="Arial" w:hAnsi="Arial" w:cs="Arial"/>
          <w:sz w:val="24"/>
          <w:szCs w:val="24"/>
        </w:rPr>
      </w:pPr>
    </w:p>
    <w:p w14:paraId="68B4EE54"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0027F173" w14:textId="32CFDA9E"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46</w:t>
      </w:r>
      <w:r w:rsidR="002E19E4" w:rsidRPr="002843F2">
        <w:rPr>
          <w:rFonts w:ascii="Arial" w:eastAsia="Arial" w:hAnsi="Arial" w:cs="Arial"/>
          <w:b/>
          <w:sz w:val="24"/>
          <w:szCs w:val="24"/>
        </w:rPr>
        <w:t>.</w:t>
      </w:r>
      <w:r w:rsidR="002E19E4" w:rsidRPr="002843F2">
        <w:rPr>
          <w:rFonts w:ascii="Arial" w:eastAsia="Arial" w:hAnsi="Arial" w:cs="Arial"/>
          <w:sz w:val="24"/>
          <w:szCs w:val="24"/>
        </w:rPr>
        <w:t xml:space="preserve"> Adiciónese un Artículo nuevo a la Ley 675 de 2001, el cual quedará así:</w:t>
      </w:r>
    </w:p>
    <w:p w14:paraId="17666F98"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4FD3D12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 xml:space="preserve">Artículo 92. Registro Único Nacional de Propiedad Horizontal (RUNPH). </w:t>
      </w:r>
      <w:r w:rsidRPr="002843F2">
        <w:rPr>
          <w:rFonts w:ascii="Arial" w:eastAsia="Arial" w:hAnsi="Arial" w:cs="Arial"/>
          <w:sz w:val="24"/>
          <w:szCs w:val="24"/>
        </w:rPr>
        <w:t>Créese el Registro Único Nacional de Propiedad Horizontal – RUNPH.</w:t>
      </w:r>
    </w:p>
    <w:p w14:paraId="0C0B3FC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699ADD3"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Protocolo único administrado por las Cámaras de Comercio, en el cual se inscribe, renueva y actualiza la persona jurídica de propiedad horizontal.</w:t>
      </w:r>
    </w:p>
    <w:p w14:paraId="70AE41E7"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8233B5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Registro Único de Propiedad Horizontal establecerá las condiciones de registro a través de un formulario y/o formato que podrá ser diligenciado en línea y actualizado de manera permanente cuando ocurran cambios. La inscripción de las personas jurídicas de las Propiedades horizontales será de carácter obligatorio por el propietario inicial en caso de las propiedades horizontales nuevas y por el representante legal en el caso de las ya existentes.</w:t>
      </w:r>
    </w:p>
    <w:p w14:paraId="2AA885B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1E1DD8A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La inscripción y actualización se realizarán en las Cámaras de Comercio donde se encuentre la propiedad horizontal. </w:t>
      </w:r>
    </w:p>
    <w:p w14:paraId="7A0C5F9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7BC328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Registro Único Nacional de Propiedad Horizontal (RUNPH) deberá ser accesible para las personas con discapacidad, tanto los formatos de inscripción como los portales de consulta de la información.</w:t>
      </w:r>
    </w:p>
    <w:p w14:paraId="19EAEC2A"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6472C48C" w14:textId="74B20A8E" w:rsidR="002E19E4"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El Gobierno Nacional en un término no mayor a seis (6) meses a partir de la expedición de la presente Ley, reglamentará la operación </w:t>
      </w:r>
      <w:r w:rsidR="000E50F4">
        <w:rPr>
          <w:rFonts w:ascii="Arial" w:eastAsia="Arial" w:hAnsi="Arial" w:cs="Arial"/>
          <w:sz w:val="24"/>
          <w:szCs w:val="24"/>
        </w:rPr>
        <w:t xml:space="preserve">y los actos </w:t>
      </w:r>
      <w:r w:rsidRPr="002843F2">
        <w:rPr>
          <w:rFonts w:ascii="Arial" w:eastAsia="Arial" w:hAnsi="Arial" w:cs="Arial"/>
          <w:sz w:val="24"/>
          <w:szCs w:val="24"/>
        </w:rPr>
        <w:t>del Registro Único en las Cámaras de Comercio como un registro virtual integrado al Registro Único Empresarial y Social –RUES–, que podrá ser consultado en línea.</w:t>
      </w:r>
    </w:p>
    <w:p w14:paraId="15500FD7" w14:textId="77777777" w:rsidR="007074F2" w:rsidRDefault="007074F2" w:rsidP="002E19E4">
      <w:pPr>
        <w:tabs>
          <w:tab w:val="left" w:pos="3686"/>
        </w:tabs>
        <w:spacing w:after="0" w:line="240" w:lineRule="auto"/>
        <w:ind w:left="283"/>
        <w:jc w:val="both"/>
        <w:rPr>
          <w:rFonts w:ascii="Arial" w:eastAsia="Arial" w:hAnsi="Arial" w:cs="Arial"/>
          <w:sz w:val="24"/>
          <w:szCs w:val="24"/>
        </w:rPr>
      </w:pPr>
    </w:p>
    <w:p w14:paraId="3B7C6793" w14:textId="5DCFB5C5" w:rsidR="007074F2" w:rsidRPr="007074F2" w:rsidRDefault="007074F2" w:rsidP="002E19E4">
      <w:pPr>
        <w:tabs>
          <w:tab w:val="left" w:pos="3686"/>
        </w:tabs>
        <w:spacing w:after="0" w:line="240" w:lineRule="auto"/>
        <w:ind w:left="283"/>
        <w:jc w:val="both"/>
        <w:rPr>
          <w:rFonts w:ascii="Arial" w:eastAsia="Arial" w:hAnsi="Arial" w:cs="Arial"/>
          <w:sz w:val="24"/>
          <w:szCs w:val="24"/>
        </w:rPr>
      </w:pPr>
      <w:r w:rsidRPr="007074F2">
        <w:rPr>
          <w:rFonts w:ascii="Arial" w:eastAsia="Arial" w:hAnsi="Arial" w:cs="Arial"/>
          <w:b/>
          <w:sz w:val="24"/>
          <w:szCs w:val="24"/>
        </w:rPr>
        <w:t>Parágrafo 2.</w:t>
      </w:r>
      <w:r>
        <w:rPr>
          <w:rFonts w:ascii="Arial" w:eastAsia="Arial" w:hAnsi="Arial" w:cs="Arial"/>
          <w:b/>
          <w:sz w:val="24"/>
          <w:szCs w:val="24"/>
        </w:rPr>
        <w:t xml:space="preserve"> </w:t>
      </w:r>
      <w:r>
        <w:rPr>
          <w:rFonts w:ascii="Arial" w:eastAsia="Arial" w:hAnsi="Arial" w:cs="Arial"/>
          <w:sz w:val="24"/>
          <w:szCs w:val="24"/>
        </w:rPr>
        <w:t>El Gobierno Nacional establecerá tarifas diferenciales para la inscripción y renovación en el Registro Único Nacional de Propiedad Horizontal en función del sector y el estrato socioeconómico en el cual se ubica la copropiedad.</w:t>
      </w:r>
    </w:p>
    <w:p w14:paraId="21EB1F0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4122629"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74ECBD5" w14:textId="603EC536" w:rsidR="002E19E4" w:rsidRPr="002843F2" w:rsidRDefault="002E19E4" w:rsidP="002E19E4">
      <w:pPr>
        <w:tabs>
          <w:tab w:val="left" w:pos="3686"/>
        </w:tabs>
        <w:spacing w:after="0" w:line="240" w:lineRule="auto"/>
        <w:jc w:val="both"/>
        <w:rPr>
          <w:rFonts w:ascii="Arial" w:eastAsia="Arial" w:hAnsi="Arial" w:cs="Arial"/>
          <w:sz w:val="24"/>
          <w:szCs w:val="24"/>
        </w:rPr>
      </w:pPr>
      <w:r w:rsidRPr="002843F2">
        <w:rPr>
          <w:rFonts w:ascii="Arial" w:eastAsia="Arial" w:hAnsi="Arial" w:cs="Arial"/>
          <w:b/>
          <w:sz w:val="24"/>
          <w:szCs w:val="24"/>
        </w:rPr>
        <w:t>Artíc</w:t>
      </w:r>
      <w:r w:rsidR="00712160">
        <w:rPr>
          <w:rFonts w:ascii="Arial" w:eastAsia="Arial" w:hAnsi="Arial" w:cs="Arial"/>
          <w:b/>
          <w:sz w:val="24"/>
          <w:szCs w:val="24"/>
        </w:rPr>
        <w:t>ulo 47</w:t>
      </w:r>
      <w:r w:rsidRPr="002843F2">
        <w:rPr>
          <w:rFonts w:ascii="Arial" w:eastAsia="Arial" w:hAnsi="Arial" w:cs="Arial"/>
          <w:b/>
          <w:sz w:val="24"/>
          <w:szCs w:val="24"/>
        </w:rPr>
        <w:t>.</w:t>
      </w:r>
      <w:r w:rsidRPr="002843F2">
        <w:rPr>
          <w:rFonts w:ascii="Arial" w:eastAsia="Arial" w:hAnsi="Arial" w:cs="Arial"/>
          <w:sz w:val="24"/>
          <w:szCs w:val="24"/>
        </w:rPr>
        <w:t xml:space="preserve"> Adiciónese un Artículo nuevo a la Ley 675 de 2001, el cual quedará así:</w:t>
      </w:r>
    </w:p>
    <w:p w14:paraId="04EE9B86"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0D121C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93. Registro Único Nacional de Administradores de Propiedad Horizontal (RUAPH).</w:t>
      </w:r>
      <w:r w:rsidRPr="002843F2">
        <w:rPr>
          <w:rFonts w:ascii="Arial" w:eastAsia="Arial" w:hAnsi="Arial" w:cs="Arial"/>
          <w:sz w:val="24"/>
          <w:szCs w:val="24"/>
        </w:rPr>
        <w:t xml:space="preserve"> Créese el Registro Único de Administradores de Propiedad </w:t>
      </w:r>
      <w:r w:rsidRPr="002843F2">
        <w:rPr>
          <w:rFonts w:ascii="Arial" w:eastAsia="Arial" w:hAnsi="Arial" w:cs="Arial"/>
          <w:sz w:val="24"/>
          <w:szCs w:val="24"/>
        </w:rPr>
        <w:lastRenderedPageBreak/>
        <w:t>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w:t>
      </w:r>
    </w:p>
    <w:p w14:paraId="020A58D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1FEFFC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La anotación se realizará en la Cámara de Comercio de la jurisdicción donde se pretenda realizar la actividad.</w:t>
      </w:r>
    </w:p>
    <w:p w14:paraId="0EA66C2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190DBC2"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La inscripción en el registro para administradores de propiedad horizontal de uso residencial multifamiliar ubicadas en estratos uno (1) dos (2) y tres (3) será de carácter gratuito. </w:t>
      </w:r>
    </w:p>
    <w:p w14:paraId="4D4B5A0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5ECA5D8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La solicitud, inscripción, consultas y publicación de ofertas laborales o de prestación de servicios para administradores y, consultas del registro serán gratuitas en todo el territorio nacional.</w:t>
      </w:r>
    </w:p>
    <w:p w14:paraId="1472850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0865D22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Registro Único Nacional de Administradores de Propiedad Horizontal (RUAPH) 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14:paraId="453C0AFE"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2B7E908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1º.</w:t>
      </w:r>
      <w:r w:rsidRPr="002843F2">
        <w:rPr>
          <w:rFonts w:ascii="Arial" w:eastAsia="Arial" w:hAnsi="Arial" w:cs="Arial"/>
          <w:sz w:val="24"/>
          <w:szCs w:val="24"/>
        </w:rPr>
        <w:t xml:space="preserve"> 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14:paraId="317B9E9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E7F603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2º</w:t>
      </w:r>
      <w:r w:rsidRPr="002843F2">
        <w:rPr>
          <w:rFonts w:ascii="Arial" w:eastAsia="Arial" w:hAnsi="Arial" w:cs="Arial"/>
          <w:sz w:val="24"/>
          <w:szCs w:val="24"/>
        </w:rPr>
        <w:t>. El Gobierno Nacional en un término no mayor a seis (6) meses a partir de la expedición de la presente Ley, reglamentará la operación del Registro Único en las Cámaras de Comercio como un registro virtual integrado al Registro Único Empresarial y Social –RUES–, que podrá ser consultado en línea de manera gratuita, incluyendo la información sobre los administradores registrados, sus anotaciones y las ofertas laborales o de prestación de servicios.</w:t>
      </w:r>
    </w:p>
    <w:p w14:paraId="279A1C22"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5E36003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3º</w:t>
      </w:r>
      <w:r w:rsidRPr="002843F2">
        <w:rPr>
          <w:rFonts w:ascii="Arial" w:eastAsia="Arial" w:hAnsi="Arial" w:cs="Arial"/>
          <w:sz w:val="24"/>
          <w:szCs w:val="24"/>
        </w:rPr>
        <w:t xml:space="preserve">. El Gobierno Nacional determinará de conformidad con lo dispuesto en el Artículo 124 de la Ley 6 de 1992 y el Artículo 182 de la Ley 1607 de 2012, una tarifa por la inscripción de los administradores en el registro único de administradores de propiedad horizontal a cargo de las Cámaras de Comercio, el pago por la inscripción se realizará una única vez y su renovación será gratuita.  </w:t>
      </w:r>
    </w:p>
    <w:p w14:paraId="58B3433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7025FA14"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En la reglamentación se deberán establecer tarifas diferenciadas para la inscripción, atendiendo el estrato socio-económico y la clase de la propiedad horizontal en donde se presta el servicio de administración. En caso de prestarse </w:t>
      </w:r>
      <w:r w:rsidRPr="002843F2">
        <w:rPr>
          <w:rFonts w:ascii="Arial" w:eastAsia="Arial" w:hAnsi="Arial" w:cs="Arial"/>
          <w:sz w:val="24"/>
          <w:szCs w:val="24"/>
        </w:rPr>
        <w:lastRenderedPageBreak/>
        <w:t>el servicio en varias propiedades horizontales, se tendrá en cuenta el estrato socio-económico menor.</w:t>
      </w:r>
    </w:p>
    <w:p w14:paraId="7BF7C97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BF8281A"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A2759DE" w14:textId="766F582A"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48</w:t>
      </w:r>
      <w:r w:rsidR="002E19E4" w:rsidRPr="002843F2">
        <w:rPr>
          <w:rFonts w:ascii="Arial" w:eastAsia="Arial" w:hAnsi="Arial" w:cs="Arial"/>
          <w:sz w:val="24"/>
          <w:szCs w:val="24"/>
        </w:rPr>
        <w:t>. Adiciónese un Artículo nuevo a la Ley 675 de 2001, el cual quedará así:</w:t>
      </w:r>
    </w:p>
    <w:p w14:paraId="42AF6D32"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EFCDEF2" w14:textId="77777777" w:rsidR="002E19E4" w:rsidRPr="002843F2" w:rsidRDefault="002E19E4" w:rsidP="002E19E4">
      <w:pPr>
        <w:tabs>
          <w:tab w:val="left" w:pos="3686"/>
        </w:tabs>
        <w:spacing w:after="0" w:line="240" w:lineRule="auto"/>
        <w:ind w:left="426"/>
        <w:jc w:val="both"/>
        <w:rPr>
          <w:rFonts w:ascii="Arial" w:eastAsia="Arial" w:hAnsi="Arial" w:cs="Arial"/>
          <w:sz w:val="24"/>
          <w:szCs w:val="24"/>
        </w:rPr>
      </w:pPr>
      <w:r w:rsidRPr="002843F2">
        <w:rPr>
          <w:rFonts w:ascii="Arial" w:eastAsia="Arial" w:hAnsi="Arial" w:cs="Arial"/>
          <w:b/>
          <w:sz w:val="24"/>
          <w:szCs w:val="24"/>
        </w:rPr>
        <w:t xml:space="preserve">Artículo 94. Inscripción. </w:t>
      </w:r>
      <w:r w:rsidRPr="002843F2">
        <w:rPr>
          <w:rFonts w:ascii="Arial" w:eastAsia="Arial" w:hAnsi="Arial" w:cs="Arial"/>
          <w:sz w:val="24"/>
          <w:szCs w:val="24"/>
        </w:rPr>
        <w:t xml:space="preserve">Cualquier persona que ejerza o pretenda ejercer como administrador de propiedad horizontal deberá inscribirse en el Registro Único, suministrando información verídica y actualizándola cuando haya lugar. </w:t>
      </w:r>
    </w:p>
    <w:p w14:paraId="2601C434" w14:textId="77777777" w:rsidR="002E19E4" w:rsidRPr="002843F2" w:rsidRDefault="002E19E4" w:rsidP="002E19E4">
      <w:pPr>
        <w:tabs>
          <w:tab w:val="left" w:pos="3686"/>
        </w:tabs>
        <w:spacing w:after="0" w:line="240" w:lineRule="auto"/>
        <w:ind w:left="426"/>
        <w:jc w:val="both"/>
        <w:rPr>
          <w:rFonts w:ascii="Arial" w:eastAsia="Arial" w:hAnsi="Arial" w:cs="Arial"/>
          <w:sz w:val="24"/>
          <w:szCs w:val="24"/>
        </w:rPr>
      </w:pPr>
    </w:p>
    <w:p w14:paraId="2CD0D403" w14:textId="77777777" w:rsidR="002E19E4" w:rsidRPr="002843F2" w:rsidRDefault="002E19E4" w:rsidP="002E19E4">
      <w:pPr>
        <w:tabs>
          <w:tab w:val="left" w:pos="3686"/>
        </w:tabs>
        <w:spacing w:after="0" w:line="240" w:lineRule="auto"/>
        <w:ind w:left="426"/>
        <w:jc w:val="both"/>
        <w:rPr>
          <w:rFonts w:ascii="Arial" w:eastAsia="Arial" w:hAnsi="Arial" w:cs="Arial"/>
          <w:sz w:val="24"/>
          <w:szCs w:val="24"/>
        </w:rPr>
      </w:pPr>
      <w:r w:rsidRPr="002843F2">
        <w:rPr>
          <w:rFonts w:ascii="Arial" w:eastAsia="Arial" w:hAnsi="Arial" w:cs="Arial"/>
          <w:sz w:val="24"/>
          <w:szCs w:val="24"/>
        </w:rPr>
        <w:t>En el Registro se deberá identificar a las propiedades horizontales en las que presta y ha prestado sus servicios, los periodos de administración, las sanciones impuestas y su vigencia.</w:t>
      </w:r>
    </w:p>
    <w:p w14:paraId="626237C0"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D01B795"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75ECD27A" w14:textId="287B8E0C"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49</w:t>
      </w:r>
      <w:r w:rsidR="002E19E4" w:rsidRPr="002843F2">
        <w:rPr>
          <w:rFonts w:ascii="Arial" w:eastAsia="Arial" w:hAnsi="Arial" w:cs="Arial"/>
          <w:sz w:val="24"/>
          <w:szCs w:val="24"/>
        </w:rPr>
        <w:t>. Adiciónese el Artículo 93 a la Ley 675 de 2001, el cual quedará así:</w:t>
      </w:r>
    </w:p>
    <w:p w14:paraId="19537C32"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32D056F7" w14:textId="77777777" w:rsidR="002E19E4" w:rsidRPr="002843F2" w:rsidRDefault="002E19E4" w:rsidP="002E19E4">
      <w:pPr>
        <w:tabs>
          <w:tab w:val="left" w:pos="3686"/>
        </w:tabs>
        <w:spacing w:after="0" w:line="240" w:lineRule="auto"/>
        <w:ind w:left="426"/>
        <w:jc w:val="both"/>
        <w:rPr>
          <w:rFonts w:ascii="Arial" w:eastAsia="Arial" w:hAnsi="Arial" w:cs="Arial"/>
          <w:sz w:val="24"/>
          <w:szCs w:val="24"/>
        </w:rPr>
      </w:pPr>
      <w:r w:rsidRPr="002843F2">
        <w:rPr>
          <w:rFonts w:ascii="Arial" w:eastAsia="Arial" w:hAnsi="Arial" w:cs="Arial"/>
          <w:b/>
          <w:sz w:val="24"/>
          <w:szCs w:val="24"/>
        </w:rPr>
        <w:t>Artículo 95. Requisitos</w:t>
      </w:r>
      <w:r w:rsidRPr="002843F2">
        <w:rPr>
          <w:rFonts w:ascii="Arial" w:eastAsia="Arial" w:hAnsi="Arial" w:cs="Arial"/>
          <w:sz w:val="24"/>
          <w:szCs w:val="24"/>
        </w:rPr>
        <w:t>. Para la inscripción en el Registro, se debe cumplir con los siguientes requisitos.</w:t>
      </w:r>
    </w:p>
    <w:p w14:paraId="7DA52289"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32AD5AF" w14:textId="77777777" w:rsidR="002E19E4" w:rsidRPr="002843F2" w:rsidRDefault="002E19E4" w:rsidP="000E36E0">
      <w:pPr>
        <w:numPr>
          <w:ilvl w:val="0"/>
          <w:numId w:val="6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Acreditar educación media mediante el título de bachiller otorgado por las instituciones educativas autorizadas.</w:t>
      </w:r>
    </w:p>
    <w:p w14:paraId="5D547469" w14:textId="77777777" w:rsidR="002E19E4" w:rsidRPr="002843F2" w:rsidRDefault="002E19E4" w:rsidP="000E36E0">
      <w:pPr>
        <w:numPr>
          <w:ilvl w:val="0"/>
          <w:numId w:val="65"/>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También se podrá acreditar título profesional, afín a las ciencias administrativas, contables o legales.</w:t>
      </w:r>
    </w:p>
    <w:p w14:paraId="0C02D82F" w14:textId="77777777" w:rsidR="002E19E4" w:rsidRPr="002843F2" w:rsidRDefault="002E19E4" w:rsidP="002E19E4">
      <w:pPr>
        <w:pBdr>
          <w:top w:val="nil"/>
          <w:left w:val="nil"/>
          <w:bottom w:val="nil"/>
          <w:right w:val="nil"/>
          <w:between w:val="nil"/>
        </w:pBdr>
        <w:tabs>
          <w:tab w:val="left" w:pos="3686"/>
        </w:tabs>
        <w:spacing w:after="0" w:line="240" w:lineRule="auto"/>
        <w:ind w:left="720"/>
        <w:jc w:val="both"/>
        <w:rPr>
          <w:rFonts w:ascii="Arial" w:eastAsia="Arial" w:hAnsi="Arial" w:cs="Arial"/>
          <w:color w:val="000000"/>
          <w:sz w:val="24"/>
          <w:szCs w:val="24"/>
        </w:rPr>
      </w:pPr>
    </w:p>
    <w:p w14:paraId="642C361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el caso de las propiedades horizontales construidas para la prestación exclusiva de servicios de alojamiento u hospedaje, el administrador deberá contar además con formación académica en el grado de tecnólogo o formación para el empleo en materia turística.</w:t>
      </w:r>
    </w:p>
    <w:p w14:paraId="0F2451AC"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7F5DFF3C" w14:textId="72FF582E"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A partir de la entrada en funcionamiento del Registro Único de Administradores de Propiedad Horizontal y durante los siguientes dos (2) años, quien ejerza como Administrador de Propiedad Horizontal podrá registrarse acreditand</w:t>
      </w:r>
      <w:r w:rsidR="00CF1F49">
        <w:rPr>
          <w:rFonts w:ascii="Arial" w:eastAsia="Arial" w:hAnsi="Arial" w:cs="Arial"/>
          <w:sz w:val="24"/>
          <w:szCs w:val="24"/>
        </w:rPr>
        <w:t>o únicamente experiencia relacionada</w:t>
      </w:r>
      <w:r w:rsidRPr="002843F2">
        <w:rPr>
          <w:rFonts w:ascii="Arial" w:eastAsia="Arial" w:hAnsi="Arial" w:cs="Arial"/>
          <w:sz w:val="24"/>
          <w:szCs w:val="24"/>
        </w:rPr>
        <w:t xml:space="preserve"> de mínimo dos (2) años. Vencido este término, quien pretenda ejercer la actividad, deben inscribirse acreditando los requisitos de los numerales 1 y 2 del presente artículo.</w:t>
      </w:r>
    </w:p>
    <w:p w14:paraId="54159323"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5ABA86BF"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2°.</w:t>
      </w:r>
      <w:r w:rsidRPr="002843F2">
        <w:rPr>
          <w:rFonts w:ascii="Arial" w:eastAsia="Arial" w:hAnsi="Arial" w:cs="Arial"/>
          <w:sz w:val="24"/>
          <w:szCs w:val="24"/>
        </w:rPr>
        <w:t xml:space="preserve"> Administradores Ad-Honorem. En caso que el administrador de propiedad horizontal preste sus servicios de manera gratuita y sea copropietario, no deberá cumplir con los requisitos antes descritos y deberá dejar constancia al momento de solicitar la certificación de representación legal ante la autoridad competente. </w:t>
      </w:r>
    </w:p>
    <w:p w14:paraId="40D02FD8"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0DC83EE0"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620BCD7" w14:textId="0A6855CE"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50</w:t>
      </w:r>
      <w:r w:rsidR="002E19E4" w:rsidRPr="002843F2">
        <w:rPr>
          <w:rFonts w:ascii="Arial" w:eastAsia="Arial" w:hAnsi="Arial" w:cs="Arial"/>
          <w:b/>
          <w:sz w:val="24"/>
          <w:szCs w:val="24"/>
        </w:rPr>
        <w:t>.</w:t>
      </w:r>
      <w:r w:rsidR="002E19E4" w:rsidRPr="002843F2">
        <w:rPr>
          <w:rFonts w:ascii="Arial" w:eastAsia="Arial" w:hAnsi="Arial" w:cs="Arial"/>
          <w:sz w:val="24"/>
          <w:szCs w:val="24"/>
        </w:rPr>
        <w:t xml:space="preserve"> Adiciónese un Artículo nuevo a la Ley 675 de 2001, el cual quedará así:</w:t>
      </w:r>
    </w:p>
    <w:p w14:paraId="40F9570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88D6A7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96</w:t>
      </w:r>
      <w:r w:rsidRPr="002843F2">
        <w:rPr>
          <w:rFonts w:ascii="Arial" w:eastAsia="Arial" w:hAnsi="Arial" w:cs="Arial"/>
          <w:sz w:val="24"/>
          <w:szCs w:val="24"/>
        </w:rPr>
        <w:t xml:space="preserve">. </w:t>
      </w:r>
      <w:r w:rsidRPr="002843F2">
        <w:rPr>
          <w:rFonts w:ascii="Arial" w:eastAsia="Arial" w:hAnsi="Arial" w:cs="Arial"/>
          <w:b/>
          <w:sz w:val="24"/>
          <w:szCs w:val="24"/>
        </w:rPr>
        <w:t>Inspección, vigilancia y control</w:t>
      </w:r>
      <w:r w:rsidRPr="002843F2">
        <w:rPr>
          <w:rFonts w:ascii="Arial" w:eastAsia="Arial" w:hAnsi="Arial" w:cs="Arial"/>
          <w:sz w:val="24"/>
          <w:szCs w:val="24"/>
        </w:rPr>
        <w:t>. Las alcaldías distritales,</w:t>
      </w:r>
      <w:r w:rsidRPr="002843F2">
        <w:rPr>
          <w:rFonts w:ascii="Arial" w:eastAsia="Arial" w:hAnsi="Arial" w:cs="Arial"/>
          <w:b/>
          <w:sz w:val="24"/>
          <w:szCs w:val="24"/>
        </w:rPr>
        <w:t xml:space="preserve"> </w:t>
      </w:r>
      <w:r w:rsidRPr="002843F2">
        <w:rPr>
          <w:rFonts w:ascii="Arial" w:eastAsia="Arial" w:hAnsi="Arial" w:cs="Arial"/>
          <w:sz w:val="24"/>
          <w:szCs w:val="24"/>
        </w:rPr>
        <w:t>municipales y la gobernación del Archipiélago de San Andrés Providencia y Santa Catalina ejercerán la inspección, 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p w14:paraId="243AEBF1"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037A4EA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el ejercicio de las funciones de inspección, las autoridades podrán, con connotación pedagógica, solicitar y/o verificar información, documentos y practicar pruebas que se consideren relevantes; entre otros, podrán exigir al administrador exhibir el reglamento, las actas, los contratos suscritos, los estados financieros y los libros oficiales.</w:t>
      </w:r>
    </w:p>
    <w:p w14:paraId="0628F953"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CF19AA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En el ejercicio de las funciones de vigilancia, las autoridades podrán con connotación pedagógica, advertir, prevenir, orientar, asistir y propender para que la propiedad horizontal cumpla con la normatividad vigente sobre su conformación, funcionamiento, desarrollo y extinción.</w:t>
      </w:r>
    </w:p>
    <w:p w14:paraId="0BC6C6A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63C06B6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En el ejercicio de las funciones de control, se podrán ordenar correctivos consistentes en la alerta de incumplimiento, realización de cursos pedagógicos, amonestación escrita, remisión de los casos a las autoridades competentes o imposición de multas, atendiendo las reglas del debido proceso. Los recaudos por la imposición de multas serán destinados a programas de convivencia, participación ciudadana y difusión de las obligaciones de los copropietarios y residentes en el marco del régimen de la propiedad horizontal. En ningún caso, la imposición de sanciones recaerá solidariamente sobre los copropietarios. </w:t>
      </w:r>
    </w:p>
    <w:p w14:paraId="67E55417"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63D7D1F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Parágrafo 1°.</w:t>
      </w:r>
      <w:r w:rsidRPr="002843F2">
        <w:rPr>
          <w:rFonts w:ascii="Arial" w:eastAsia="Arial" w:hAnsi="Arial" w:cs="Arial"/>
          <w:sz w:val="24"/>
          <w:szCs w:val="24"/>
        </w:rPr>
        <w:t xml:space="preserve"> El ejercicio de las actuaciones de control solo podrá adelantarse previo al agotamiento de las funciones de inspección y vigilancia, y con respecto a conductas que afecten derechos fundamentales de terceros.</w:t>
      </w:r>
    </w:p>
    <w:p w14:paraId="699FDCBB" w14:textId="77777777" w:rsidR="002E19E4" w:rsidRDefault="002E19E4" w:rsidP="002E19E4">
      <w:pPr>
        <w:tabs>
          <w:tab w:val="left" w:pos="3686"/>
        </w:tabs>
        <w:spacing w:after="0" w:line="240" w:lineRule="auto"/>
        <w:ind w:left="283"/>
        <w:jc w:val="both"/>
        <w:rPr>
          <w:rFonts w:ascii="Arial" w:eastAsia="Arial" w:hAnsi="Arial" w:cs="Arial"/>
          <w:sz w:val="24"/>
          <w:szCs w:val="24"/>
        </w:rPr>
      </w:pPr>
    </w:p>
    <w:p w14:paraId="2E804976" w14:textId="49C062A5" w:rsidR="005047F8" w:rsidRPr="005047F8" w:rsidRDefault="005047F8" w:rsidP="002E19E4">
      <w:pPr>
        <w:tabs>
          <w:tab w:val="left" w:pos="3686"/>
        </w:tabs>
        <w:spacing w:after="0" w:line="240" w:lineRule="auto"/>
        <w:ind w:left="283"/>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El Ministerio de Vivienda, Ciudad y Territorio reglamentará la materia dentro de los seis (6) meses siguientes a la expedición de la ley, donde se indique cuáles son las faltas, la graduación de la culpa, las multas y en general el procedimiento que se debe llevar a cabo.</w:t>
      </w:r>
    </w:p>
    <w:p w14:paraId="34E3DB82"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468E172" w14:textId="0E673FB2"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51</w:t>
      </w:r>
      <w:r w:rsidR="002E19E4" w:rsidRPr="002843F2">
        <w:rPr>
          <w:rFonts w:ascii="Arial" w:eastAsia="Arial" w:hAnsi="Arial" w:cs="Arial"/>
          <w:sz w:val="24"/>
          <w:szCs w:val="24"/>
        </w:rPr>
        <w:t>. Adiciónese un Artículo nuevo a la Ley 675 de 2001, el cual quedará así:</w:t>
      </w:r>
    </w:p>
    <w:p w14:paraId="669D965F"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69EB10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97. Fomento de la participación en la propiedad horizontal</w:t>
      </w:r>
      <w:r w:rsidRPr="002843F2">
        <w:rPr>
          <w:rFonts w:ascii="Arial" w:eastAsia="Arial" w:hAnsi="Arial" w:cs="Arial"/>
          <w:sz w:val="24"/>
          <w:szCs w:val="24"/>
        </w:rPr>
        <w:t xml:space="preserve">.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14:paraId="50FB00D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85BE5A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Estas políticas deberán tener en cuenta el enfoque diferencial en discapacidad, garantizando la participación en condiciones de igualdad de las personas en situación de discapacidad. </w:t>
      </w:r>
    </w:p>
    <w:p w14:paraId="08866F05"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285DD880"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3477D7E" w14:textId="5BB1DC8C"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52</w:t>
      </w:r>
      <w:r w:rsidR="002E19E4" w:rsidRPr="002843F2">
        <w:rPr>
          <w:rFonts w:ascii="Arial" w:eastAsia="Arial" w:hAnsi="Arial" w:cs="Arial"/>
          <w:sz w:val="24"/>
          <w:szCs w:val="24"/>
        </w:rPr>
        <w:t>. Adiciónese un Artículo nuevo a la Ley 675 de 2001, el cual quedará así:</w:t>
      </w:r>
    </w:p>
    <w:p w14:paraId="58A62031" w14:textId="77777777" w:rsidR="002E19E4" w:rsidRPr="002843F2" w:rsidRDefault="002E19E4" w:rsidP="002E19E4">
      <w:pPr>
        <w:tabs>
          <w:tab w:val="left" w:pos="3686"/>
        </w:tabs>
        <w:spacing w:after="0" w:line="240" w:lineRule="auto"/>
        <w:jc w:val="both"/>
        <w:rPr>
          <w:rFonts w:ascii="Arial" w:eastAsia="Arial" w:hAnsi="Arial" w:cs="Arial"/>
          <w:b/>
          <w:sz w:val="24"/>
          <w:szCs w:val="24"/>
        </w:rPr>
      </w:pPr>
    </w:p>
    <w:p w14:paraId="782DD456"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98. Consejos locales, municipales y distritales de Propiedad Horizontal</w:t>
      </w:r>
      <w:r w:rsidRPr="002843F2">
        <w:rPr>
          <w:rFonts w:ascii="Arial" w:eastAsia="Arial" w:hAnsi="Arial" w:cs="Arial"/>
          <w:sz w:val="24"/>
          <w:szCs w:val="24"/>
        </w:rPr>
        <w:t>. En los municipios y distritos podrán crearse consejos locales, municipales y distritales de propiedad horizontal, como instancias de participación ciudadana en materia de asuntos referentes a propiedad horizontal.</w:t>
      </w:r>
    </w:p>
    <w:p w14:paraId="1137CD99"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24D71EDB"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Los consejos locales, municipales y distritales de propiedad horizontal, tendrán las siguientes funciones.</w:t>
      </w:r>
    </w:p>
    <w:p w14:paraId="6BC77AD8"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EC08EA7" w14:textId="77777777" w:rsidR="002E19E4" w:rsidRPr="002843F2" w:rsidRDefault="002E19E4" w:rsidP="000E36E0">
      <w:pPr>
        <w:numPr>
          <w:ilvl w:val="0"/>
          <w:numId w:val="66"/>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Promover la participación ciudadana a través del uso de los mecanismos legales pertinentes, bien sean de iniciativa particular o por autoridad pública, en materia de propiedad horizontal a nivel local, municipal y distrital.</w:t>
      </w:r>
    </w:p>
    <w:p w14:paraId="1C2D82F3" w14:textId="77777777" w:rsidR="002E19E4" w:rsidRPr="002843F2" w:rsidRDefault="002E19E4" w:rsidP="000E36E0">
      <w:pPr>
        <w:numPr>
          <w:ilvl w:val="0"/>
          <w:numId w:val="66"/>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Articular en los municipios y distritos las diferentes instancias de participación ciudadana en materia de propiedad horizontal.</w:t>
      </w:r>
      <w:bookmarkStart w:id="1" w:name="_GoBack"/>
      <w:bookmarkEnd w:id="1"/>
    </w:p>
    <w:p w14:paraId="1905556F" w14:textId="77777777" w:rsidR="002E19E4" w:rsidRPr="002843F2" w:rsidRDefault="002E19E4" w:rsidP="000E36E0">
      <w:pPr>
        <w:numPr>
          <w:ilvl w:val="0"/>
          <w:numId w:val="66"/>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t>Proponer ante las correspondientes entidades y organismos de orden municipal y distrital estrategias de participación ciudadana en materia de propiedad horizontal.</w:t>
      </w:r>
    </w:p>
    <w:p w14:paraId="508B0240" w14:textId="4FE9D337" w:rsidR="00693660" w:rsidRDefault="00693660" w:rsidP="000E36E0">
      <w:pPr>
        <w:numPr>
          <w:ilvl w:val="0"/>
          <w:numId w:val="66"/>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Actuar como instancia asesora y consultiva respecto de las inquietudes que se puedan llegar a presentar por la administración local, municipal o distrital en las políticas, planes de desarrollo, proyectos e iniciativas que involucren los temas concernientes con propiedad horizontal.</w:t>
      </w:r>
    </w:p>
    <w:p w14:paraId="50481DCC" w14:textId="77777777" w:rsidR="002E19E4" w:rsidRPr="002843F2" w:rsidRDefault="002E19E4" w:rsidP="000E36E0">
      <w:pPr>
        <w:numPr>
          <w:ilvl w:val="0"/>
          <w:numId w:val="66"/>
        </w:numPr>
        <w:pBdr>
          <w:top w:val="nil"/>
          <w:left w:val="nil"/>
          <w:bottom w:val="nil"/>
          <w:right w:val="nil"/>
          <w:between w:val="nil"/>
        </w:pBdr>
        <w:tabs>
          <w:tab w:val="left" w:pos="3686"/>
        </w:tabs>
        <w:spacing w:after="0" w:line="240" w:lineRule="auto"/>
        <w:jc w:val="both"/>
        <w:rPr>
          <w:rFonts w:ascii="Arial" w:eastAsia="Arial" w:hAnsi="Arial" w:cs="Arial"/>
          <w:color w:val="000000"/>
          <w:sz w:val="24"/>
          <w:szCs w:val="24"/>
        </w:rPr>
      </w:pPr>
      <w:r w:rsidRPr="002843F2">
        <w:rPr>
          <w:rFonts w:ascii="Arial" w:eastAsia="Arial" w:hAnsi="Arial" w:cs="Arial"/>
          <w:color w:val="000000"/>
          <w:sz w:val="24"/>
          <w:szCs w:val="24"/>
        </w:rPr>
        <w:lastRenderedPageBreak/>
        <w:t>Velar por la inclusión social y la accesibilidad de las personas con discapacidad en las propiedades horizontales.</w:t>
      </w:r>
    </w:p>
    <w:p w14:paraId="79AC043B"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72B4591"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3218A883" w14:textId="05117F2B"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 xml:space="preserve">Artículo 53. </w:t>
      </w:r>
      <w:r w:rsidR="002E19E4" w:rsidRPr="002843F2">
        <w:rPr>
          <w:rFonts w:ascii="Arial" w:eastAsia="Arial" w:hAnsi="Arial" w:cs="Arial"/>
          <w:sz w:val="24"/>
          <w:szCs w:val="24"/>
        </w:rPr>
        <w:t>Adiciónese un Artículo nuevo a la Ley 675 de 2001, el cual quedará así:</w:t>
      </w:r>
    </w:p>
    <w:p w14:paraId="77058573"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29DD812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99. Consejo Nacional de Propiedad Horizontal.</w:t>
      </w:r>
      <w:r w:rsidRPr="002843F2">
        <w:rPr>
          <w:rFonts w:ascii="Arial" w:eastAsia="Arial" w:hAnsi="Arial" w:cs="Arial"/>
          <w:sz w:val="24"/>
          <w:szCs w:val="24"/>
        </w:rPr>
        <w:t xml:space="preserve"> Podrá crearse el Consejo Nacional de Propiedad Horizontal, en el que tendrá asiento un (1) representante de cada consejo municipal o distrital de propiedad horizontal. </w:t>
      </w:r>
    </w:p>
    <w:p w14:paraId="31B01F5D"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4CB01218"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Consejo Nacional de Propiedad Horizontal tendrá un representante en el Sistema Nacional de Participación Ciudadana establecido en el artículo 80 de la Ley 1757 de 2015 y demás normas que la modifiquen o adicionen.</w:t>
      </w:r>
    </w:p>
    <w:p w14:paraId="19B2FE5C"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p>
    <w:p w14:paraId="02D4C885"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El Ministerio de Vivienda, Ciudad y Territorio reglamentará la materia dentro de los seis (6) meses siguientes a la expedición de la Ley, sin perjuicio del ejercicio de la función reglamentaria en cualquier tiempo.</w:t>
      </w:r>
    </w:p>
    <w:p w14:paraId="381D5987"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59006743"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7F86504D" w14:textId="702DAB4D"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54</w:t>
      </w:r>
      <w:r w:rsidR="002E19E4" w:rsidRPr="002843F2">
        <w:rPr>
          <w:rFonts w:ascii="Arial" w:eastAsia="Arial" w:hAnsi="Arial" w:cs="Arial"/>
          <w:b/>
          <w:sz w:val="24"/>
          <w:szCs w:val="24"/>
        </w:rPr>
        <w:t>.</w:t>
      </w:r>
      <w:r w:rsidR="002E19E4" w:rsidRPr="002843F2">
        <w:rPr>
          <w:rFonts w:ascii="Arial" w:eastAsia="Arial" w:hAnsi="Arial" w:cs="Arial"/>
          <w:sz w:val="24"/>
          <w:szCs w:val="24"/>
        </w:rPr>
        <w:t xml:space="preserve"> Adiciónese un Artículo nuevo a la Ley 675 de 2001, el cual quedará así:</w:t>
      </w:r>
    </w:p>
    <w:p w14:paraId="5EC38771" w14:textId="77777777" w:rsidR="002E19E4" w:rsidRPr="002843F2" w:rsidRDefault="002E19E4" w:rsidP="002E19E4">
      <w:pPr>
        <w:tabs>
          <w:tab w:val="left" w:pos="3686"/>
        </w:tabs>
        <w:spacing w:after="0" w:line="240" w:lineRule="auto"/>
        <w:ind w:left="283"/>
        <w:jc w:val="both"/>
        <w:rPr>
          <w:rFonts w:ascii="Arial" w:eastAsia="Arial" w:hAnsi="Arial" w:cs="Arial"/>
          <w:b/>
          <w:sz w:val="24"/>
          <w:szCs w:val="24"/>
        </w:rPr>
      </w:pPr>
    </w:p>
    <w:p w14:paraId="0E2FE26E" w14:textId="77777777" w:rsidR="002E19E4" w:rsidRPr="002843F2"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b/>
          <w:sz w:val="24"/>
          <w:szCs w:val="24"/>
        </w:rPr>
        <w:t>Artículo 100. Accesibilidad para personas con discapacidad en la participación ciudadana en la propiedad horizontal.</w:t>
      </w:r>
      <w:r w:rsidRPr="002843F2">
        <w:rPr>
          <w:rFonts w:ascii="Arial" w:eastAsia="Arial" w:hAnsi="Arial" w:cs="Arial"/>
          <w:sz w:val="24"/>
          <w:szCs w:val="24"/>
        </w:rPr>
        <w:t xml:space="preserve"> En todas las instancias de participación ciudadana de la propiedad horizontal como los Consejos locales, Municipales, Distritales y el Consejo Nacional de Propiedad Horizontal, se deberá garantizar la accesibilidad de las personas con discapacidad para deliberar, decidir y realizar las demás acciones pertinentes. Se deberán adoptar todos los ajustes razonables y necesarios para tal fin.</w:t>
      </w:r>
    </w:p>
    <w:p w14:paraId="5E0E4A69"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65497DAD" w14:textId="77777777" w:rsidR="002E19E4" w:rsidRPr="002843F2" w:rsidRDefault="002E19E4" w:rsidP="002E19E4">
      <w:pPr>
        <w:tabs>
          <w:tab w:val="left" w:pos="3686"/>
        </w:tabs>
        <w:spacing w:after="0" w:line="240" w:lineRule="auto"/>
        <w:jc w:val="both"/>
        <w:rPr>
          <w:rFonts w:ascii="Arial" w:eastAsia="Arial" w:hAnsi="Arial" w:cs="Arial"/>
          <w:sz w:val="24"/>
          <w:szCs w:val="24"/>
        </w:rPr>
      </w:pPr>
    </w:p>
    <w:p w14:paraId="4F674664" w14:textId="7685C140" w:rsidR="002E19E4" w:rsidRPr="002843F2" w:rsidRDefault="00712160" w:rsidP="002E19E4">
      <w:pPr>
        <w:spacing w:after="0" w:line="240" w:lineRule="auto"/>
        <w:jc w:val="both"/>
        <w:rPr>
          <w:rFonts w:ascii="Arial" w:eastAsia="Arial" w:hAnsi="Arial" w:cs="Arial"/>
          <w:sz w:val="24"/>
          <w:szCs w:val="24"/>
          <w:highlight w:val="white"/>
        </w:rPr>
      </w:pPr>
      <w:r>
        <w:rPr>
          <w:rFonts w:ascii="Arial" w:eastAsia="Arial" w:hAnsi="Arial" w:cs="Arial"/>
          <w:b/>
          <w:sz w:val="24"/>
          <w:szCs w:val="24"/>
          <w:highlight w:val="white"/>
        </w:rPr>
        <w:t>Artículo 55</w:t>
      </w:r>
      <w:r w:rsidR="002E19E4" w:rsidRPr="002843F2">
        <w:rPr>
          <w:rFonts w:ascii="Arial" w:eastAsia="Arial" w:hAnsi="Arial" w:cs="Arial"/>
          <w:b/>
          <w:sz w:val="24"/>
          <w:szCs w:val="24"/>
          <w:highlight w:val="white"/>
        </w:rPr>
        <w:t xml:space="preserve">. </w:t>
      </w:r>
      <w:r w:rsidR="002E19E4" w:rsidRPr="002843F2">
        <w:rPr>
          <w:rFonts w:ascii="Arial" w:eastAsia="Arial" w:hAnsi="Arial" w:cs="Arial"/>
          <w:sz w:val="24"/>
          <w:szCs w:val="24"/>
          <w:highlight w:val="white"/>
        </w:rPr>
        <w:t>Adiciónese el Artículo 10</w:t>
      </w:r>
      <w:r w:rsidR="002E19E4">
        <w:rPr>
          <w:rFonts w:ascii="Arial" w:eastAsia="Arial" w:hAnsi="Arial" w:cs="Arial"/>
          <w:sz w:val="24"/>
          <w:szCs w:val="24"/>
          <w:highlight w:val="white"/>
        </w:rPr>
        <w:t>1 a</w:t>
      </w:r>
      <w:r w:rsidR="002E19E4" w:rsidRPr="002843F2">
        <w:rPr>
          <w:rFonts w:ascii="Arial" w:eastAsia="Arial" w:hAnsi="Arial" w:cs="Arial"/>
          <w:sz w:val="24"/>
          <w:szCs w:val="24"/>
          <w:highlight w:val="white"/>
        </w:rPr>
        <w:t xml:space="preserve"> la Ley 675 de 2001, el cual quedará así:</w:t>
      </w:r>
    </w:p>
    <w:p w14:paraId="48043D6C" w14:textId="77777777" w:rsidR="002E19E4" w:rsidRPr="002843F2" w:rsidRDefault="002E19E4" w:rsidP="002E19E4">
      <w:pPr>
        <w:spacing w:after="0" w:line="240" w:lineRule="auto"/>
        <w:jc w:val="both"/>
        <w:rPr>
          <w:rFonts w:ascii="Arial" w:eastAsia="Arial" w:hAnsi="Arial" w:cs="Arial"/>
          <w:b/>
          <w:sz w:val="24"/>
          <w:szCs w:val="24"/>
        </w:rPr>
      </w:pPr>
    </w:p>
    <w:p w14:paraId="65B542EE" w14:textId="77777777" w:rsidR="002E19E4" w:rsidRDefault="002E19E4" w:rsidP="002E19E4">
      <w:pPr>
        <w:spacing w:after="0" w:line="240" w:lineRule="auto"/>
        <w:ind w:left="283"/>
        <w:jc w:val="both"/>
        <w:rPr>
          <w:rFonts w:ascii="Arial" w:hAnsi="Arial"/>
          <w:bCs/>
          <w:sz w:val="24"/>
          <w:szCs w:val="24"/>
        </w:rPr>
      </w:pPr>
      <w:r w:rsidRPr="002843F2">
        <w:rPr>
          <w:rFonts w:ascii="Arial" w:eastAsia="Arial" w:hAnsi="Arial" w:cs="Arial"/>
          <w:b/>
          <w:sz w:val="24"/>
          <w:szCs w:val="24"/>
        </w:rPr>
        <w:t>Artículo 101.</w:t>
      </w:r>
      <w:r>
        <w:rPr>
          <w:rFonts w:ascii="Arial" w:eastAsia="Arial" w:hAnsi="Arial" w:cs="Arial"/>
          <w:b/>
          <w:sz w:val="24"/>
          <w:szCs w:val="24"/>
        </w:rPr>
        <w:t xml:space="preserve"> De los servicios de hospedaje o</w:t>
      </w:r>
      <w:r w:rsidRPr="002843F2">
        <w:rPr>
          <w:rFonts w:ascii="Arial" w:eastAsia="Arial" w:hAnsi="Arial" w:cs="Arial"/>
          <w:b/>
          <w:sz w:val="24"/>
          <w:szCs w:val="24"/>
        </w:rPr>
        <w:t xml:space="preserve"> alojamiento en la propiedad horizontal</w:t>
      </w:r>
      <w:r w:rsidRPr="002843F2">
        <w:rPr>
          <w:rFonts w:ascii="Arial" w:eastAsia="Arial" w:hAnsi="Arial" w:cs="Arial"/>
          <w:sz w:val="24"/>
          <w:szCs w:val="24"/>
        </w:rPr>
        <w:t>.</w:t>
      </w:r>
      <w:r>
        <w:rPr>
          <w:rFonts w:ascii="Arial" w:eastAsia="Arial" w:hAnsi="Arial" w:cs="Arial"/>
          <w:b/>
          <w:sz w:val="24"/>
          <w:szCs w:val="24"/>
        </w:rPr>
        <w:t xml:space="preserve"> </w:t>
      </w:r>
      <w:r w:rsidRPr="00A01E84">
        <w:rPr>
          <w:rFonts w:ascii="Arial" w:hAnsi="Arial"/>
          <w:bCs/>
          <w:sz w:val="24"/>
          <w:szCs w:val="24"/>
        </w:rPr>
        <w:t xml:space="preserve">La ejecución de las actividades relacionadas </w:t>
      </w:r>
      <w:r>
        <w:rPr>
          <w:rFonts w:ascii="Arial" w:hAnsi="Arial"/>
          <w:bCs/>
          <w:sz w:val="24"/>
          <w:szCs w:val="24"/>
        </w:rPr>
        <w:t>con los servicios de hospedaje o</w:t>
      </w:r>
      <w:r w:rsidRPr="00A01E84">
        <w:rPr>
          <w:rFonts w:ascii="Arial" w:hAnsi="Arial"/>
          <w:bCs/>
          <w:sz w:val="24"/>
          <w:szCs w:val="24"/>
        </w:rPr>
        <w:t xml:space="preserve"> alojamiento en la propiedad horizontal está permitida, salvo que la asamblea de copropietarios lo prohíba mediante mayoría calificada.</w:t>
      </w:r>
    </w:p>
    <w:p w14:paraId="75D59779" w14:textId="77777777" w:rsidR="002E19E4" w:rsidRPr="002843F2" w:rsidRDefault="002E19E4" w:rsidP="002E19E4">
      <w:pPr>
        <w:spacing w:after="0" w:line="240" w:lineRule="auto"/>
        <w:ind w:left="283"/>
        <w:jc w:val="both"/>
        <w:rPr>
          <w:rFonts w:ascii="Arial" w:eastAsia="Arial" w:hAnsi="Arial" w:cs="Arial"/>
          <w:sz w:val="24"/>
          <w:szCs w:val="24"/>
        </w:rPr>
      </w:pPr>
    </w:p>
    <w:p w14:paraId="1E20F632" w14:textId="77777777" w:rsidR="002E19E4" w:rsidRDefault="002E19E4" w:rsidP="002E19E4">
      <w:pPr>
        <w:tabs>
          <w:tab w:val="left" w:pos="3686"/>
        </w:tabs>
        <w:spacing w:after="0" w:line="240" w:lineRule="auto"/>
        <w:ind w:left="283"/>
        <w:jc w:val="both"/>
        <w:rPr>
          <w:rFonts w:ascii="Arial" w:eastAsia="Arial" w:hAnsi="Arial" w:cs="Arial"/>
          <w:sz w:val="24"/>
          <w:szCs w:val="24"/>
        </w:rPr>
      </w:pPr>
      <w:r w:rsidRPr="002843F2">
        <w:rPr>
          <w:rFonts w:ascii="Arial" w:eastAsia="Arial" w:hAnsi="Arial" w:cs="Arial"/>
          <w:sz w:val="24"/>
          <w:szCs w:val="24"/>
        </w:rPr>
        <w:t xml:space="preserve">Para el ejercicio de la actividad, se requerirá inscripción por parte del propietario del inmueble en el Registro Nacional de Turismo, de conformidad con lo establecido en los Decretos Nacionales 2590 de 2009, 4933 de 2009 y 1836 de 2021 o en las normas que los adicionen, modifiquen o sustituyan. Cuando el servicio de hospedaje u alojamiento sea ofrecido a través de plataformas tecnológicas, se deberá señalar en la misma que el inmueble está sometido al </w:t>
      </w:r>
      <w:r w:rsidRPr="002843F2">
        <w:rPr>
          <w:rFonts w:ascii="Arial" w:eastAsia="Arial" w:hAnsi="Arial" w:cs="Arial"/>
          <w:sz w:val="24"/>
          <w:szCs w:val="24"/>
        </w:rPr>
        <w:lastRenderedPageBreak/>
        <w:t>régimen de propiedad horizontal, indicando los derechos y obligaciones a los que está sometido el bien.</w:t>
      </w:r>
    </w:p>
    <w:p w14:paraId="0BD7941A" w14:textId="77777777" w:rsidR="009923F8" w:rsidRDefault="009923F8" w:rsidP="002E19E4">
      <w:pPr>
        <w:tabs>
          <w:tab w:val="left" w:pos="3686"/>
        </w:tabs>
        <w:spacing w:after="0" w:line="240" w:lineRule="auto"/>
        <w:ind w:left="283"/>
        <w:jc w:val="both"/>
        <w:rPr>
          <w:rFonts w:ascii="Arial" w:eastAsia="Arial" w:hAnsi="Arial" w:cs="Arial"/>
          <w:sz w:val="24"/>
          <w:szCs w:val="24"/>
        </w:rPr>
      </w:pPr>
    </w:p>
    <w:p w14:paraId="685950B5" w14:textId="3981A8BA" w:rsidR="009923F8" w:rsidRPr="009923F8" w:rsidRDefault="009923F8" w:rsidP="002E19E4">
      <w:pPr>
        <w:tabs>
          <w:tab w:val="left" w:pos="3686"/>
        </w:tabs>
        <w:spacing w:after="0" w:line="240" w:lineRule="auto"/>
        <w:ind w:left="283"/>
        <w:jc w:val="both"/>
        <w:rPr>
          <w:rFonts w:ascii="Arial" w:eastAsia="Arial" w:hAnsi="Arial" w:cs="Arial"/>
          <w:sz w:val="24"/>
          <w:szCs w:val="24"/>
        </w:rPr>
      </w:pPr>
      <w:proofErr w:type="spellStart"/>
      <w:r w:rsidRPr="009923F8">
        <w:rPr>
          <w:rFonts w:ascii="Arial" w:eastAsia="Arial" w:hAnsi="Arial" w:cs="Arial"/>
          <w:b/>
          <w:sz w:val="24"/>
          <w:szCs w:val="24"/>
        </w:rPr>
        <w:t>Paragrafo</w:t>
      </w:r>
      <w:proofErr w:type="spellEnd"/>
      <w:r>
        <w:rPr>
          <w:rFonts w:ascii="Arial" w:eastAsia="Arial" w:hAnsi="Arial" w:cs="Arial"/>
          <w:b/>
          <w:sz w:val="24"/>
          <w:szCs w:val="24"/>
        </w:rPr>
        <w:t xml:space="preserve">. </w:t>
      </w:r>
      <w:r>
        <w:rPr>
          <w:rFonts w:ascii="Arial" w:eastAsia="Arial" w:hAnsi="Arial" w:cs="Arial"/>
          <w:sz w:val="24"/>
          <w:szCs w:val="24"/>
        </w:rPr>
        <w:t>Las disposiciones establecidas en el artículo serán aplicables únicamente a las Plataformas Tecnológicas de Turismo que cumplan con la regulación en materia de vivienda turística y alojamiento temporal. De lo contrario, en los casos en que la plataforma no cumpla con el ordenamiento jurídico su actividad no estará permitida en la propiedad horizontal. Las Plataformas Tecnológicas de Turismo que incumplan con lo aquí dispuesto, serán sancionadas de conformidad con la reglamentación que para el efecto expida el Gobierno Nacional.</w:t>
      </w:r>
    </w:p>
    <w:p w14:paraId="71918BBE" w14:textId="77777777" w:rsidR="002E19E4" w:rsidRDefault="002E19E4" w:rsidP="002E19E4">
      <w:pPr>
        <w:tabs>
          <w:tab w:val="left" w:pos="3686"/>
        </w:tabs>
        <w:spacing w:after="0" w:line="240" w:lineRule="auto"/>
        <w:jc w:val="both"/>
        <w:rPr>
          <w:rFonts w:ascii="Arial" w:eastAsia="Arial" w:hAnsi="Arial" w:cs="Arial"/>
          <w:b/>
          <w:sz w:val="24"/>
          <w:szCs w:val="24"/>
        </w:rPr>
      </w:pPr>
    </w:p>
    <w:p w14:paraId="01072109" w14:textId="77777777" w:rsidR="00831794" w:rsidRDefault="00831794" w:rsidP="002E19E4">
      <w:pPr>
        <w:tabs>
          <w:tab w:val="left" w:pos="3686"/>
        </w:tabs>
        <w:spacing w:after="0" w:line="240" w:lineRule="auto"/>
        <w:jc w:val="both"/>
        <w:rPr>
          <w:rFonts w:ascii="Arial" w:eastAsia="Arial" w:hAnsi="Arial" w:cs="Arial"/>
          <w:b/>
          <w:sz w:val="24"/>
          <w:szCs w:val="24"/>
        </w:rPr>
      </w:pPr>
    </w:p>
    <w:p w14:paraId="6D055E0F" w14:textId="77777777" w:rsidR="009923F8" w:rsidRDefault="009923F8" w:rsidP="002E19E4">
      <w:pPr>
        <w:tabs>
          <w:tab w:val="left" w:pos="3686"/>
        </w:tabs>
        <w:spacing w:after="0" w:line="240" w:lineRule="auto"/>
        <w:jc w:val="both"/>
        <w:rPr>
          <w:rFonts w:ascii="Arial" w:eastAsia="Arial" w:hAnsi="Arial" w:cs="Arial"/>
          <w:b/>
          <w:sz w:val="24"/>
          <w:szCs w:val="24"/>
        </w:rPr>
      </w:pPr>
    </w:p>
    <w:p w14:paraId="77AADEF9" w14:textId="1608A850" w:rsidR="002E19E4" w:rsidRPr="002843F2" w:rsidRDefault="00712160" w:rsidP="002E19E4">
      <w:pPr>
        <w:tabs>
          <w:tab w:val="left" w:pos="3686"/>
        </w:tabs>
        <w:spacing w:after="0" w:line="240" w:lineRule="auto"/>
        <w:jc w:val="both"/>
        <w:rPr>
          <w:rFonts w:ascii="Arial" w:eastAsia="Arial" w:hAnsi="Arial" w:cs="Arial"/>
          <w:sz w:val="24"/>
          <w:szCs w:val="24"/>
        </w:rPr>
      </w:pPr>
      <w:r>
        <w:rPr>
          <w:rFonts w:ascii="Arial" w:eastAsia="Arial" w:hAnsi="Arial" w:cs="Arial"/>
          <w:b/>
          <w:sz w:val="24"/>
          <w:szCs w:val="24"/>
        </w:rPr>
        <w:t>Artículo 56</w:t>
      </w:r>
      <w:r w:rsidR="002E19E4" w:rsidRPr="002843F2">
        <w:rPr>
          <w:rFonts w:ascii="Arial" w:eastAsia="Arial" w:hAnsi="Arial" w:cs="Arial"/>
          <w:b/>
          <w:sz w:val="24"/>
          <w:szCs w:val="24"/>
        </w:rPr>
        <w:t>. Vigencia y derogatoria.</w:t>
      </w:r>
      <w:r w:rsidR="002E19E4" w:rsidRPr="002843F2">
        <w:rPr>
          <w:rFonts w:ascii="Arial" w:eastAsia="Arial" w:hAnsi="Arial" w:cs="Arial"/>
          <w:sz w:val="24"/>
          <w:szCs w:val="24"/>
        </w:rPr>
        <w:t xml:space="preserve"> La presente Ley rige a partir de su publicación y deroga las normas que le sean contrarias.</w:t>
      </w:r>
    </w:p>
    <w:p w14:paraId="7138E679" w14:textId="77777777" w:rsidR="002E19E4" w:rsidRDefault="002E19E4" w:rsidP="002E19E4">
      <w:pPr>
        <w:tabs>
          <w:tab w:val="left" w:pos="3686"/>
        </w:tabs>
        <w:spacing w:after="0" w:line="240" w:lineRule="auto"/>
        <w:ind w:right="49"/>
        <w:jc w:val="both"/>
        <w:rPr>
          <w:rFonts w:ascii="Arial" w:eastAsia="Arial" w:hAnsi="Arial" w:cs="Arial"/>
          <w:sz w:val="24"/>
          <w:szCs w:val="24"/>
        </w:rPr>
      </w:pPr>
    </w:p>
    <w:p w14:paraId="5C67170B" w14:textId="77777777" w:rsidR="009923F8" w:rsidRDefault="009923F8" w:rsidP="002E19E4">
      <w:pPr>
        <w:tabs>
          <w:tab w:val="left" w:pos="3686"/>
        </w:tabs>
        <w:spacing w:after="0" w:line="240" w:lineRule="auto"/>
        <w:ind w:right="49"/>
        <w:jc w:val="both"/>
        <w:rPr>
          <w:rFonts w:ascii="Arial" w:eastAsia="Arial" w:hAnsi="Arial" w:cs="Arial"/>
          <w:sz w:val="24"/>
          <w:szCs w:val="24"/>
        </w:rPr>
      </w:pPr>
    </w:p>
    <w:p w14:paraId="79EBFAE7" w14:textId="77777777" w:rsidR="009923F8" w:rsidRDefault="009923F8" w:rsidP="002E19E4">
      <w:pPr>
        <w:tabs>
          <w:tab w:val="left" w:pos="3686"/>
        </w:tabs>
        <w:spacing w:after="0" w:line="240" w:lineRule="auto"/>
        <w:ind w:right="49"/>
        <w:jc w:val="both"/>
        <w:rPr>
          <w:rFonts w:ascii="Arial" w:eastAsia="Arial" w:hAnsi="Arial" w:cs="Arial"/>
          <w:sz w:val="24"/>
          <w:szCs w:val="24"/>
        </w:rPr>
      </w:pPr>
    </w:p>
    <w:p w14:paraId="5625D6FE" w14:textId="77777777" w:rsidR="009923F8" w:rsidRDefault="009923F8" w:rsidP="002E19E4">
      <w:pPr>
        <w:tabs>
          <w:tab w:val="left" w:pos="3686"/>
        </w:tabs>
        <w:spacing w:after="0" w:line="240" w:lineRule="auto"/>
        <w:ind w:right="49"/>
        <w:jc w:val="both"/>
        <w:rPr>
          <w:rFonts w:ascii="Arial" w:eastAsia="Arial" w:hAnsi="Arial" w:cs="Arial"/>
          <w:sz w:val="24"/>
          <w:szCs w:val="24"/>
        </w:rPr>
      </w:pPr>
    </w:p>
    <w:p w14:paraId="563073C8" w14:textId="319E33E4" w:rsidR="00DE0F69" w:rsidRPr="00745528" w:rsidRDefault="005C1623" w:rsidP="00DE0F69">
      <w:pPr>
        <w:jc w:val="both"/>
        <w:rPr>
          <w:rFonts w:ascii="Arial" w:eastAsia="Times New Roman" w:hAnsi="Arial" w:cs="Arial"/>
          <w:b/>
          <w:sz w:val="24"/>
          <w:szCs w:val="24"/>
          <w:lang w:eastAsia="es-CO"/>
        </w:rPr>
      </w:pPr>
      <w:r w:rsidRPr="00745528">
        <w:rPr>
          <w:rFonts w:ascii="Arial" w:hAnsi="Arial" w:cs="Arial"/>
          <w:sz w:val="24"/>
          <w:szCs w:val="24"/>
        </w:rPr>
        <w:t>E</w:t>
      </w:r>
      <w:r w:rsidR="00DE0F69" w:rsidRPr="00745528">
        <w:rPr>
          <w:rFonts w:ascii="Arial" w:hAnsi="Arial" w:cs="Arial"/>
          <w:sz w:val="24"/>
          <w:szCs w:val="24"/>
        </w:rPr>
        <w:t>n</w:t>
      </w:r>
      <w:r w:rsidR="00DE0F69" w:rsidRPr="00745528">
        <w:rPr>
          <w:rFonts w:ascii="Arial" w:hAnsi="Arial" w:cs="Arial"/>
          <w:sz w:val="24"/>
          <w:szCs w:val="24"/>
          <w:lang w:val="es-ES" w:eastAsia="es-ES"/>
        </w:rPr>
        <w:t xml:space="preserve"> los anteriores términos fue aprobado con modifi</w:t>
      </w:r>
      <w:r w:rsidR="003B7C49" w:rsidRPr="00745528">
        <w:rPr>
          <w:rFonts w:ascii="Arial" w:hAnsi="Arial" w:cs="Arial"/>
          <w:sz w:val="24"/>
          <w:szCs w:val="24"/>
          <w:lang w:val="es-ES" w:eastAsia="es-ES"/>
        </w:rPr>
        <w:t>caciones el presente Proyecto d</w:t>
      </w:r>
      <w:r w:rsidR="00580838" w:rsidRPr="00745528">
        <w:rPr>
          <w:rFonts w:ascii="Arial" w:hAnsi="Arial" w:cs="Arial"/>
          <w:sz w:val="24"/>
          <w:szCs w:val="24"/>
          <w:lang w:val="es-ES" w:eastAsia="es-ES"/>
        </w:rPr>
        <w:t xml:space="preserve">e Ley </w:t>
      </w:r>
      <w:r w:rsidR="007E0097" w:rsidRPr="00745528">
        <w:rPr>
          <w:rFonts w:ascii="Arial" w:hAnsi="Arial" w:cs="Arial"/>
          <w:sz w:val="24"/>
          <w:szCs w:val="24"/>
          <w:lang w:val="es-ES" w:eastAsia="es-ES"/>
        </w:rPr>
        <w:t>Estatutaria</w:t>
      </w:r>
      <w:r w:rsidR="007E0097" w:rsidRPr="00745528">
        <w:rPr>
          <w:rFonts w:ascii="Arial" w:hAnsi="Arial" w:cs="Arial"/>
          <w:color w:val="FF0000"/>
          <w:sz w:val="24"/>
          <w:szCs w:val="24"/>
          <w:lang w:val="es-ES" w:eastAsia="es-ES"/>
        </w:rPr>
        <w:t xml:space="preserve"> </w:t>
      </w:r>
      <w:r w:rsidR="00434A1D" w:rsidRPr="00745528">
        <w:rPr>
          <w:rFonts w:ascii="Arial" w:hAnsi="Arial" w:cs="Arial"/>
          <w:sz w:val="24"/>
          <w:szCs w:val="24"/>
          <w:lang w:val="es-ES" w:eastAsia="es-ES"/>
        </w:rPr>
        <w:t>según consta en Acta No. 42</w:t>
      </w:r>
      <w:r w:rsidR="003B7C49" w:rsidRPr="00745528">
        <w:rPr>
          <w:rFonts w:ascii="Arial" w:hAnsi="Arial" w:cs="Arial"/>
          <w:sz w:val="24"/>
          <w:szCs w:val="24"/>
          <w:lang w:val="es-ES" w:eastAsia="es-ES"/>
        </w:rPr>
        <w:t xml:space="preserve"> de Sesión de </w:t>
      </w:r>
      <w:r w:rsidR="00434A1D" w:rsidRPr="00745528">
        <w:rPr>
          <w:rFonts w:ascii="Arial" w:hAnsi="Arial" w:cs="Arial"/>
          <w:sz w:val="24"/>
          <w:szCs w:val="24"/>
          <w:lang w:val="es-ES" w:eastAsia="es-ES"/>
        </w:rPr>
        <w:t xml:space="preserve">Abril 12 </w:t>
      </w:r>
      <w:r w:rsidR="009501D7" w:rsidRPr="00745528">
        <w:rPr>
          <w:rFonts w:ascii="Arial" w:hAnsi="Arial" w:cs="Arial"/>
          <w:sz w:val="24"/>
          <w:szCs w:val="24"/>
          <w:lang w:val="es-ES" w:eastAsia="es-ES"/>
        </w:rPr>
        <w:t>de</w:t>
      </w:r>
      <w:r w:rsidR="00434A1D" w:rsidRPr="00745528">
        <w:rPr>
          <w:rFonts w:ascii="Arial" w:hAnsi="Arial" w:cs="Arial"/>
          <w:sz w:val="24"/>
          <w:szCs w:val="24"/>
          <w:lang w:val="es-ES" w:eastAsia="es-ES"/>
        </w:rPr>
        <w:t xml:space="preserve"> 2023</w:t>
      </w:r>
      <w:r w:rsidR="00561E5C" w:rsidRPr="00745528">
        <w:rPr>
          <w:rFonts w:ascii="Arial" w:hAnsi="Arial" w:cs="Arial"/>
          <w:sz w:val="24"/>
          <w:szCs w:val="24"/>
          <w:lang w:val="es-ES" w:eastAsia="es-ES"/>
        </w:rPr>
        <w:t>.</w:t>
      </w:r>
      <w:r w:rsidR="00DD1ABA" w:rsidRPr="00745528">
        <w:rPr>
          <w:rFonts w:ascii="Arial" w:hAnsi="Arial" w:cs="Arial"/>
          <w:sz w:val="24"/>
          <w:szCs w:val="24"/>
          <w:lang w:val="es-ES" w:eastAsia="es-ES"/>
        </w:rPr>
        <w:t xml:space="preserve"> Anunciado </w:t>
      </w:r>
      <w:r w:rsidR="00FB1A5C" w:rsidRPr="00745528">
        <w:rPr>
          <w:rFonts w:ascii="Arial" w:hAnsi="Arial" w:cs="Arial"/>
          <w:sz w:val="24"/>
          <w:szCs w:val="24"/>
          <w:lang w:val="es-ES" w:eastAsia="es-ES"/>
        </w:rPr>
        <w:t xml:space="preserve">entre otras fechas, </w:t>
      </w:r>
      <w:r w:rsidR="00DE0F69" w:rsidRPr="00745528">
        <w:rPr>
          <w:rFonts w:ascii="Arial" w:hAnsi="Arial" w:cs="Arial"/>
          <w:sz w:val="24"/>
          <w:szCs w:val="24"/>
          <w:lang w:val="es-ES" w:eastAsia="es-ES"/>
        </w:rPr>
        <w:t xml:space="preserve">el </w:t>
      </w:r>
      <w:r w:rsidR="00434A1D" w:rsidRPr="00745528">
        <w:rPr>
          <w:rFonts w:ascii="Arial" w:hAnsi="Arial" w:cs="Arial"/>
          <w:sz w:val="24"/>
          <w:szCs w:val="24"/>
          <w:lang w:val="es-ES" w:eastAsia="es-ES"/>
        </w:rPr>
        <w:t>11</w:t>
      </w:r>
      <w:r w:rsidR="00773A5D" w:rsidRPr="00745528">
        <w:rPr>
          <w:rFonts w:ascii="Arial" w:hAnsi="Arial" w:cs="Arial"/>
          <w:sz w:val="24"/>
          <w:szCs w:val="24"/>
          <w:lang w:val="es-ES" w:eastAsia="es-ES"/>
        </w:rPr>
        <w:t xml:space="preserve"> de </w:t>
      </w:r>
      <w:r w:rsidR="00434A1D" w:rsidRPr="00745528">
        <w:rPr>
          <w:rFonts w:ascii="Arial" w:hAnsi="Arial" w:cs="Arial"/>
          <w:sz w:val="24"/>
          <w:szCs w:val="24"/>
          <w:lang w:val="es-ES" w:eastAsia="es-ES"/>
        </w:rPr>
        <w:t>Abril de 2023</w:t>
      </w:r>
      <w:r w:rsidR="00E4229D" w:rsidRPr="00745528">
        <w:rPr>
          <w:rFonts w:ascii="Arial" w:hAnsi="Arial" w:cs="Arial"/>
          <w:sz w:val="24"/>
          <w:szCs w:val="24"/>
          <w:lang w:val="es-ES" w:eastAsia="es-ES"/>
        </w:rPr>
        <w:t xml:space="preserve"> según consta en Acta No. </w:t>
      </w:r>
      <w:r w:rsidR="00434A1D" w:rsidRPr="00745528">
        <w:rPr>
          <w:rFonts w:ascii="Arial" w:hAnsi="Arial" w:cs="Arial"/>
          <w:sz w:val="24"/>
          <w:szCs w:val="24"/>
          <w:lang w:val="es-ES" w:eastAsia="es-ES"/>
        </w:rPr>
        <w:t>41</w:t>
      </w:r>
      <w:r w:rsidR="00561E5C" w:rsidRPr="00745528">
        <w:rPr>
          <w:rFonts w:ascii="Arial" w:hAnsi="Arial" w:cs="Arial"/>
          <w:sz w:val="24"/>
          <w:szCs w:val="24"/>
          <w:lang w:val="es-ES" w:eastAsia="es-ES"/>
        </w:rPr>
        <w:t>.</w:t>
      </w:r>
    </w:p>
    <w:p w14:paraId="46F4DA47" w14:textId="77777777" w:rsidR="006F287E" w:rsidRPr="00745528" w:rsidRDefault="006F287E" w:rsidP="00ED247F">
      <w:pPr>
        <w:spacing w:after="0" w:line="240" w:lineRule="auto"/>
        <w:jc w:val="both"/>
        <w:rPr>
          <w:rFonts w:ascii="Arial" w:eastAsia="Times New Roman" w:hAnsi="Arial" w:cs="Arial"/>
          <w:b/>
          <w:sz w:val="24"/>
          <w:szCs w:val="24"/>
          <w:lang w:eastAsia="es-CO"/>
        </w:rPr>
      </w:pPr>
    </w:p>
    <w:p w14:paraId="21BDED43" w14:textId="77777777" w:rsidR="00292A40" w:rsidRDefault="00292A40" w:rsidP="00ED247F">
      <w:pPr>
        <w:spacing w:after="0" w:line="240" w:lineRule="auto"/>
        <w:jc w:val="both"/>
        <w:rPr>
          <w:rFonts w:ascii="Arial" w:eastAsia="Times New Roman" w:hAnsi="Arial" w:cs="Arial"/>
          <w:b/>
          <w:sz w:val="24"/>
          <w:szCs w:val="24"/>
          <w:lang w:eastAsia="es-CO"/>
        </w:rPr>
      </w:pPr>
    </w:p>
    <w:p w14:paraId="01F66641" w14:textId="77777777" w:rsidR="009923F8" w:rsidRDefault="009923F8" w:rsidP="00ED247F">
      <w:pPr>
        <w:spacing w:after="0" w:line="240" w:lineRule="auto"/>
        <w:jc w:val="both"/>
        <w:rPr>
          <w:rFonts w:ascii="Arial" w:eastAsia="Times New Roman" w:hAnsi="Arial" w:cs="Arial"/>
          <w:b/>
          <w:sz w:val="24"/>
          <w:szCs w:val="24"/>
          <w:lang w:eastAsia="es-CO"/>
        </w:rPr>
      </w:pPr>
    </w:p>
    <w:p w14:paraId="021682D9" w14:textId="77777777" w:rsidR="00256025" w:rsidRDefault="00256025" w:rsidP="00ED247F">
      <w:pPr>
        <w:spacing w:after="0" w:line="240" w:lineRule="auto"/>
        <w:jc w:val="both"/>
        <w:rPr>
          <w:rFonts w:ascii="Arial" w:eastAsia="Times New Roman" w:hAnsi="Arial" w:cs="Arial"/>
          <w:b/>
          <w:sz w:val="24"/>
          <w:szCs w:val="24"/>
          <w:lang w:eastAsia="es-CO"/>
        </w:rPr>
      </w:pPr>
    </w:p>
    <w:p w14:paraId="34A6808C" w14:textId="77777777" w:rsidR="00256025" w:rsidRDefault="00256025" w:rsidP="00ED247F">
      <w:pPr>
        <w:spacing w:after="0" w:line="240" w:lineRule="auto"/>
        <w:jc w:val="both"/>
        <w:rPr>
          <w:rFonts w:ascii="Arial" w:eastAsia="Times New Roman" w:hAnsi="Arial" w:cs="Arial"/>
          <w:b/>
          <w:sz w:val="24"/>
          <w:szCs w:val="24"/>
          <w:lang w:eastAsia="es-CO"/>
        </w:rPr>
      </w:pPr>
    </w:p>
    <w:p w14:paraId="608C17A5" w14:textId="50C8C145" w:rsidR="00ED247F" w:rsidRPr="00745528" w:rsidRDefault="00897AFE" w:rsidP="00ED247F">
      <w:pPr>
        <w:spacing w:after="0" w:line="240" w:lineRule="auto"/>
        <w:jc w:val="both"/>
        <w:rPr>
          <w:rFonts w:ascii="Arial" w:eastAsia="Times New Roman" w:hAnsi="Arial" w:cs="Arial"/>
          <w:b/>
          <w:sz w:val="24"/>
          <w:szCs w:val="24"/>
          <w:lang w:eastAsia="es-CO"/>
        </w:rPr>
      </w:pPr>
      <w:r w:rsidRPr="00745528">
        <w:rPr>
          <w:rFonts w:ascii="Arial" w:eastAsia="Times New Roman" w:hAnsi="Arial" w:cs="Arial"/>
          <w:b/>
          <w:sz w:val="24"/>
          <w:szCs w:val="24"/>
          <w:lang w:eastAsia="es-CO"/>
        </w:rPr>
        <w:t>ÓSCAR HERNÁN SÁNCHEZ LEÓN</w:t>
      </w:r>
      <w:r w:rsidR="007E0097" w:rsidRPr="00745528">
        <w:rPr>
          <w:rFonts w:ascii="Arial" w:eastAsia="Times New Roman" w:hAnsi="Arial" w:cs="Arial"/>
          <w:b/>
          <w:sz w:val="24"/>
          <w:szCs w:val="24"/>
          <w:lang w:eastAsia="es-CO"/>
        </w:rPr>
        <w:tab/>
      </w:r>
      <w:r w:rsidR="004B6C27" w:rsidRPr="00745528">
        <w:rPr>
          <w:rFonts w:ascii="Arial" w:eastAsia="Times New Roman" w:hAnsi="Arial" w:cs="Arial"/>
          <w:b/>
          <w:sz w:val="24"/>
          <w:szCs w:val="24"/>
          <w:lang w:eastAsia="es-CO"/>
        </w:rPr>
        <w:t xml:space="preserve">      </w:t>
      </w:r>
      <w:r w:rsidR="002E19E4">
        <w:rPr>
          <w:rFonts w:ascii="Arial" w:eastAsia="Times New Roman" w:hAnsi="Arial" w:cs="Arial"/>
          <w:b/>
          <w:sz w:val="24"/>
          <w:szCs w:val="24"/>
          <w:lang w:eastAsia="es-CO"/>
        </w:rPr>
        <w:t>JOSÉ J. USCÁTEGUI PASTRANA</w:t>
      </w:r>
      <w:r w:rsidR="007C2A3E" w:rsidRPr="00745528">
        <w:rPr>
          <w:rFonts w:ascii="Arial" w:eastAsia="Times New Roman" w:hAnsi="Arial" w:cs="Arial"/>
          <w:b/>
          <w:sz w:val="24"/>
          <w:szCs w:val="24"/>
          <w:lang w:eastAsia="es-CO"/>
        </w:rPr>
        <w:t xml:space="preserve">   </w:t>
      </w:r>
    </w:p>
    <w:p w14:paraId="0001CA8C" w14:textId="08B8995C" w:rsidR="002E19E4" w:rsidRDefault="003B5426" w:rsidP="00DF170E">
      <w:pPr>
        <w:spacing w:after="0" w:line="240" w:lineRule="auto"/>
        <w:jc w:val="both"/>
        <w:rPr>
          <w:rFonts w:ascii="Arial" w:eastAsia="Times New Roman" w:hAnsi="Arial" w:cs="Arial"/>
          <w:sz w:val="24"/>
          <w:szCs w:val="24"/>
          <w:lang w:eastAsia="es-CO"/>
        </w:rPr>
      </w:pPr>
      <w:r w:rsidRPr="00745528">
        <w:rPr>
          <w:rFonts w:ascii="Arial" w:eastAsia="Times New Roman" w:hAnsi="Arial" w:cs="Arial"/>
          <w:sz w:val="24"/>
          <w:szCs w:val="24"/>
          <w:lang w:eastAsia="es-CO"/>
        </w:rPr>
        <w:t>Ponente C</w:t>
      </w:r>
      <w:r w:rsidR="00ED247F" w:rsidRPr="00745528">
        <w:rPr>
          <w:rFonts w:ascii="Arial" w:eastAsia="Times New Roman" w:hAnsi="Arial" w:cs="Arial"/>
          <w:sz w:val="24"/>
          <w:szCs w:val="24"/>
          <w:lang w:eastAsia="es-CO"/>
        </w:rPr>
        <w:t>oordinador</w:t>
      </w:r>
      <w:r w:rsidR="00ED247F" w:rsidRPr="00745528">
        <w:rPr>
          <w:rFonts w:ascii="Arial" w:eastAsia="Times New Roman" w:hAnsi="Arial" w:cs="Arial"/>
          <w:sz w:val="24"/>
          <w:szCs w:val="24"/>
          <w:lang w:eastAsia="es-CO"/>
        </w:rPr>
        <w:tab/>
      </w:r>
      <w:r w:rsidR="00ED247F" w:rsidRPr="00745528">
        <w:rPr>
          <w:rFonts w:ascii="Arial" w:eastAsia="Times New Roman" w:hAnsi="Arial" w:cs="Arial"/>
          <w:sz w:val="24"/>
          <w:szCs w:val="24"/>
          <w:lang w:eastAsia="es-CO"/>
        </w:rPr>
        <w:tab/>
      </w:r>
      <w:r w:rsidR="00ED247F" w:rsidRPr="00745528">
        <w:rPr>
          <w:rFonts w:ascii="Arial" w:eastAsia="Times New Roman" w:hAnsi="Arial" w:cs="Arial"/>
          <w:sz w:val="24"/>
          <w:szCs w:val="24"/>
          <w:lang w:eastAsia="es-CO"/>
        </w:rPr>
        <w:tab/>
      </w:r>
      <w:r w:rsidR="007E0097" w:rsidRPr="00745528">
        <w:rPr>
          <w:rFonts w:ascii="Arial" w:eastAsia="Times New Roman" w:hAnsi="Arial" w:cs="Arial"/>
          <w:sz w:val="24"/>
          <w:szCs w:val="24"/>
          <w:lang w:eastAsia="es-CO"/>
        </w:rPr>
        <w:t xml:space="preserve">      </w:t>
      </w:r>
      <w:r w:rsidR="002E19E4">
        <w:rPr>
          <w:rFonts w:ascii="Arial" w:eastAsia="Times New Roman" w:hAnsi="Arial" w:cs="Arial"/>
          <w:sz w:val="24"/>
          <w:szCs w:val="24"/>
          <w:lang w:eastAsia="es-CO"/>
        </w:rPr>
        <w:t>Ponente coordinador</w:t>
      </w:r>
    </w:p>
    <w:p w14:paraId="7E60542C" w14:textId="77777777" w:rsidR="002E19E4" w:rsidRDefault="002E19E4" w:rsidP="00DF170E">
      <w:pPr>
        <w:spacing w:after="0" w:line="240" w:lineRule="auto"/>
        <w:jc w:val="both"/>
        <w:rPr>
          <w:rFonts w:ascii="Arial" w:eastAsia="Times New Roman" w:hAnsi="Arial" w:cs="Arial"/>
          <w:sz w:val="24"/>
          <w:szCs w:val="24"/>
          <w:lang w:eastAsia="es-CO"/>
        </w:rPr>
      </w:pPr>
    </w:p>
    <w:p w14:paraId="508A1D29" w14:textId="77777777" w:rsidR="002E19E4" w:rsidRDefault="002E19E4" w:rsidP="00DF170E">
      <w:pPr>
        <w:spacing w:after="0" w:line="240" w:lineRule="auto"/>
        <w:jc w:val="both"/>
        <w:rPr>
          <w:rFonts w:ascii="Arial" w:eastAsia="Times New Roman" w:hAnsi="Arial" w:cs="Arial"/>
          <w:sz w:val="24"/>
          <w:szCs w:val="24"/>
          <w:lang w:eastAsia="es-CO"/>
        </w:rPr>
      </w:pPr>
    </w:p>
    <w:p w14:paraId="5B47868F" w14:textId="77777777" w:rsidR="00256025" w:rsidRDefault="00256025" w:rsidP="00DF170E">
      <w:pPr>
        <w:spacing w:after="0" w:line="240" w:lineRule="auto"/>
        <w:jc w:val="both"/>
        <w:rPr>
          <w:rFonts w:ascii="Arial" w:eastAsia="Times New Roman" w:hAnsi="Arial" w:cs="Arial"/>
          <w:sz w:val="24"/>
          <w:szCs w:val="24"/>
          <w:lang w:eastAsia="es-CO"/>
        </w:rPr>
      </w:pPr>
    </w:p>
    <w:p w14:paraId="62020213" w14:textId="77777777" w:rsidR="00256025" w:rsidRDefault="00256025" w:rsidP="00DF170E">
      <w:pPr>
        <w:spacing w:after="0" w:line="240" w:lineRule="auto"/>
        <w:jc w:val="both"/>
        <w:rPr>
          <w:rFonts w:ascii="Arial" w:eastAsia="Times New Roman" w:hAnsi="Arial" w:cs="Arial"/>
          <w:sz w:val="24"/>
          <w:szCs w:val="24"/>
          <w:lang w:eastAsia="es-CO"/>
        </w:rPr>
      </w:pPr>
    </w:p>
    <w:p w14:paraId="64BD8861" w14:textId="77777777" w:rsidR="009923F8" w:rsidRDefault="009923F8" w:rsidP="00DF170E">
      <w:pPr>
        <w:spacing w:after="0" w:line="240" w:lineRule="auto"/>
        <w:jc w:val="both"/>
        <w:rPr>
          <w:rFonts w:ascii="Arial" w:eastAsia="Times New Roman" w:hAnsi="Arial" w:cs="Arial"/>
          <w:sz w:val="24"/>
          <w:szCs w:val="24"/>
          <w:lang w:eastAsia="es-CO"/>
        </w:rPr>
      </w:pPr>
    </w:p>
    <w:p w14:paraId="5BD887A4" w14:textId="79DFEC96" w:rsidR="00DF170E" w:rsidRPr="00256025" w:rsidRDefault="00256025" w:rsidP="00DF170E">
      <w:pPr>
        <w:spacing w:after="0"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JUAN CARLOS WILLS OSPINA</w:t>
      </w:r>
      <w:r>
        <w:rPr>
          <w:rFonts w:ascii="Arial" w:eastAsia="Times New Roman" w:hAnsi="Arial" w:cs="Arial"/>
          <w:b/>
          <w:sz w:val="24"/>
          <w:szCs w:val="24"/>
          <w:lang w:eastAsia="es-CO"/>
        </w:rPr>
        <w:tab/>
      </w:r>
      <w:r>
        <w:rPr>
          <w:rFonts w:ascii="Arial" w:eastAsia="Times New Roman" w:hAnsi="Arial" w:cs="Arial"/>
          <w:b/>
          <w:sz w:val="24"/>
          <w:szCs w:val="24"/>
          <w:lang w:eastAsia="es-CO"/>
        </w:rPr>
        <w:tab/>
        <w:t xml:space="preserve">      AMPARO Y. CALDERON PERDOMO</w:t>
      </w:r>
      <w:r w:rsidR="000D1985" w:rsidRPr="00745528">
        <w:rPr>
          <w:rFonts w:ascii="Arial" w:eastAsia="Times New Roman" w:hAnsi="Arial" w:cs="Arial"/>
          <w:b/>
          <w:sz w:val="24"/>
          <w:szCs w:val="24"/>
          <w:lang w:eastAsia="es-CO"/>
        </w:rPr>
        <w:t xml:space="preserve">      </w:t>
      </w:r>
      <w:r w:rsidR="000530B0" w:rsidRPr="00745528">
        <w:rPr>
          <w:rFonts w:ascii="Arial" w:eastAsia="Times New Roman" w:hAnsi="Arial" w:cs="Arial"/>
          <w:b/>
          <w:sz w:val="24"/>
          <w:szCs w:val="24"/>
          <w:lang w:eastAsia="es-CO"/>
        </w:rPr>
        <w:t xml:space="preserve">                   </w:t>
      </w:r>
      <w:r w:rsidR="00992371" w:rsidRPr="00745528">
        <w:rPr>
          <w:rFonts w:ascii="Arial" w:eastAsia="Times New Roman" w:hAnsi="Arial" w:cs="Arial"/>
          <w:b/>
          <w:sz w:val="24"/>
          <w:szCs w:val="24"/>
          <w:lang w:eastAsia="es-CO"/>
        </w:rPr>
        <w:t xml:space="preserve"> </w:t>
      </w:r>
      <w:r w:rsidR="007E0097" w:rsidRPr="00745528">
        <w:rPr>
          <w:rFonts w:ascii="Arial" w:eastAsia="Times New Roman" w:hAnsi="Arial" w:cs="Arial"/>
          <w:b/>
          <w:sz w:val="24"/>
          <w:szCs w:val="24"/>
          <w:lang w:eastAsia="es-CO"/>
        </w:rPr>
        <w:t xml:space="preserve">           </w:t>
      </w:r>
    </w:p>
    <w:p w14:paraId="588C3E94" w14:textId="0D1B2829" w:rsidR="00BF34E3" w:rsidRPr="00745528" w:rsidRDefault="00256025" w:rsidP="00494AAD">
      <w:pPr>
        <w:tabs>
          <w:tab w:val="center" w:pos="4419"/>
        </w:tabs>
        <w:spacing w:after="0" w:line="240" w:lineRule="auto"/>
        <w:jc w:val="both"/>
        <w:rPr>
          <w:rFonts w:ascii="Arial" w:eastAsia="Times New Roman" w:hAnsi="Arial" w:cs="Arial"/>
          <w:sz w:val="24"/>
          <w:szCs w:val="24"/>
          <w:lang w:eastAsia="es-CO"/>
        </w:rPr>
      </w:pPr>
      <w:r w:rsidRPr="00256025">
        <w:rPr>
          <w:rFonts w:ascii="Arial" w:eastAsia="Times New Roman" w:hAnsi="Arial" w:cs="Arial"/>
          <w:sz w:val="24"/>
          <w:szCs w:val="24"/>
          <w:lang w:eastAsia="es-CO"/>
        </w:rPr>
        <w:t>Presidente</w:t>
      </w:r>
      <w:r w:rsidR="00234EB6" w:rsidRPr="00745528">
        <w:rPr>
          <w:rFonts w:ascii="Arial" w:eastAsia="Times New Roman" w:hAnsi="Arial" w:cs="Arial"/>
          <w:sz w:val="24"/>
          <w:szCs w:val="24"/>
          <w:lang w:eastAsia="es-CO"/>
        </w:rPr>
        <w:t xml:space="preserve">   </w:t>
      </w:r>
      <w:r w:rsidR="00D734D7">
        <w:rPr>
          <w:rFonts w:ascii="Arial" w:eastAsia="Times New Roman" w:hAnsi="Arial" w:cs="Arial"/>
          <w:sz w:val="24"/>
          <w:szCs w:val="24"/>
          <w:lang w:eastAsia="es-CO"/>
        </w:rPr>
        <w:t xml:space="preserve">  </w:t>
      </w:r>
      <w:r w:rsidR="00234EB6" w:rsidRPr="00745528">
        <w:rPr>
          <w:rFonts w:ascii="Arial" w:eastAsia="Times New Roman" w:hAnsi="Arial" w:cs="Arial"/>
          <w:sz w:val="24"/>
          <w:szCs w:val="24"/>
          <w:lang w:eastAsia="es-CO"/>
        </w:rPr>
        <w:t xml:space="preserve">                         </w:t>
      </w:r>
      <w:r w:rsidR="001C3B3B" w:rsidRPr="00745528">
        <w:rPr>
          <w:rFonts w:ascii="Arial" w:eastAsia="Times New Roman" w:hAnsi="Arial" w:cs="Arial"/>
          <w:sz w:val="24"/>
          <w:szCs w:val="24"/>
          <w:lang w:eastAsia="es-CO"/>
        </w:rPr>
        <w:t xml:space="preserve">        </w:t>
      </w:r>
      <w:r>
        <w:rPr>
          <w:rFonts w:ascii="Arial" w:eastAsia="Times New Roman" w:hAnsi="Arial" w:cs="Arial"/>
          <w:sz w:val="24"/>
          <w:szCs w:val="24"/>
          <w:lang w:eastAsia="es-CO"/>
        </w:rPr>
        <w:tab/>
        <w:t xml:space="preserve">               Secretaria</w:t>
      </w:r>
      <w:r>
        <w:rPr>
          <w:rFonts w:ascii="Arial" w:eastAsia="Times New Roman" w:hAnsi="Arial" w:cs="Arial"/>
          <w:sz w:val="24"/>
          <w:szCs w:val="24"/>
          <w:lang w:eastAsia="es-CO"/>
        </w:rPr>
        <w:tab/>
      </w:r>
    </w:p>
    <w:sectPr w:rsidR="00BF34E3" w:rsidRPr="00745528" w:rsidSect="00992371">
      <w:headerReference w:type="default" r:id="rId8"/>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5219" w14:textId="77777777" w:rsidR="006D0B53" w:rsidRDefault="006D0B53" w:rsidP="00F464B3">
      <w:pPr>
        <w:spacing w:after="0" w:line="240" w:lineRule="auto"/>
      </w:pPr>
      <w:r>
        <w:separator/>
      </w:r>
    </w:p>
  </w:endnote>
  <w:endnote w:type="continuationSeparator" w:id="0">
    <w:p w14:paraId="563FF5E5" w14:textId="77777777" w:rsidR="006D0B53" w:rsidRDefault="006D0B5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ontserrat">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9923F8" w:rsidRPr="009923F8">
          <w:rPr>
            <w:noProof/>
            <w:lang w:val="es-ES"/>
          </w:rPr>
          <w:t>41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7541" w14:textId="77777777" w:rsidR="006D0B53" w:rsidRDefault="006D0B53" w:rsidP="00F464B3">
      <w:pPr>
        <w:spacing w:after="0" w:line="240" w:lineRule="auto"/>
      </w:pPr>
      <w:r>
        <w:separator/>
      </w:r>
    </w:p>
  </w:footnote>
  <w:footnote w:type="continuationSeparator" w:id="0">
    <w:p w14:paraId="4CFB4C1D" w14:textId="77777777" w:rsidR="006D0B53" w:rsidRDefault="006D0B53"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AC18" w14:textId="7DDD6D54" w:rsidR="009923F8" w:rsidRDefault="009923F8" w:rsidP="009923F8">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Pr>
        <w:b/>
      </w:rPr>
      <w:pict w14:anchorId="59571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1" r:href="rId2"/>
        </v:shape>
      </w:pict>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Pr>
        <w:b/>
      </w:rPr>
      <w:fldChar w:fldCharType="end"/>
    </w:r>
    <w:r w:rsidRPr="00E775AA">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8E765C"/>
    <w:multiLevelType w:val="multilevel"/>
    <w:tmpl w:val="D5A25B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8842CF9"/>
    <w:multiLevelType w:val="multilevel"/>
    <w:tmpl w:val="F3CA3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1BD1582"/>
    <w:multiLevelType w:val="multilevel"/>
    <w:tmpl w:val="B3CE9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B8C5CB8"/>
    <w:multiLevelType w:val="multilevel"/>
    <w:tmpl w:val="93BAE6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520A130F"/>
    <w:multiLevelType w:val="multilevel"/>
    <w:tmpl w:val="958CB6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3356B74"/>
    <w:multiLevelType w:val="multilevel"/>
    <w:tmpl w:val="26E0AC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59223A56"/>
    <w:multiLevelType w:val="multilevel"/>
    <w:tmpl w:val="7D349E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323053"/>
    <w:multiLevelType w:val="multilevel"/>
    <w:tmpl w:val="271E01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5F7A0829"/>
    <w:multiLevelType w:val="multilevel"/>
    <w:tmpl w:val="85487B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3614262"/>
    <w:multiLevelType w:val="multilevel"/>
    <w:tmpl w:val="D1E271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B584C1F"/>
    <w:multiLevelType w:val="multilevel"/>
    <w:tmpl w:val="FBBA9F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ED36339"/>
    <w:multiLevelType w:val="multilevel"/>
    <w:tmpl w:val="2DE89978"/>
    <w:lvl w:ilvl="0">
      <w:start w:val="1"/>
      <w:numFmt w:val="decimal"/>
      <w:lvlText w:val="%1."/>
      <w:lvlJc w:val="left"/>
      <w:pPr>
        <w:ind w:left="720" w:hanging="360"/>
      </w:pPr>
      <w:rPr>
        <w:b/>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0B805E7"/>
    <w:multiLevelType w:val="hybridMultilevel"/>
    <w:tmpl w:val="33CEAE64"/>
    <w:lvl w:ilvl="0" w:tplc="DD36F19C">
      <w:start w:val="1"/>
      <w:numFmt w:val="decimal"/>
      <w:lvlText w:val="%1."/>
      <w:lvlJc w:val="left"/>
      <w:pPr>
        <w:ind w:left="1003" w:hanging="360"/>
      </w:pPr>
      <w:rPr>
        <w:b/>
      </w:rPr>
    </w:lvl>
    <w:lvl w:ilvl="1" w:tplc="240A0019" w:tentative="1">
      <w:start w:val="1"/>
      <w:numFmt w:val="lowerLetter"/>
      <w:lvlText w:val="%2."/>
      <w:lvlJc w:val="left"/>
      <w:pPr>
        <w:ind w:left="1723" w:hanging="360"/>
      </w:pPr>
    </w:lvl>
    <w:lvl w:ilvl="2" w:tplc="240A001B" w:tentative="1">
      <w:start w:val="1"/>
      <w:numFmt w:val="lowerRoman"/>
      <w:lvlText w:val="%3."/>
      <w:lvlJc w:val="right"/>
      <w:pPr>
        <w:ind w:left="2443" w:hanging="180"/>
      </w:pPr>
    </w:lvl>
    <w:lvl w:ilvl="3" w:tplc="240A000F" w:tentative="1">
      <w:start w:val="1"/>
      <w:numFmt w:val="decimal"/>
      <w:lvlText w:val="%4."/>
      <w:lvlJc w:val="left"/>
      <w:pPr>
        <w:ind w:left="3163" w:hanging="360"/>
      </w:pPr>
    </w:lvl>
    <w:lvl w:ilvl="4" w:tplc="240A0019" w:tentative="1">
      <w:start w:val="1"/>
      <w:numFmt w:val="lowerLetter"/>
      <w:lvlText w:val="%5."/>
      <w:lvlJc w:val="left"/>
      <w:pPr>
        <w:ind w:left="3883" w:hanging="360"/>
      </w:pPr>
    </w:lvl>
    <w:lvl w:ilvl="5" w:tplc="240A001B" w:tentative="1">
      <w:start w:val="1"/>
      <w:numFmt w:val="lowerRoman"/>
      <w:lvlText w:val="%6."/>
      <w:lvlJc w:val="right"/>
      <w:pPr>
        <w:ind w:left="4603" w:hanging="180"/>
      </w:pPr>
    </w:lvl>
    <w:lvl w:ilvl="6" w:tplc="240A000F" w:tentative="1">
      <w:start w:val="1"/>
      <w:numFmt w:val="decimal"/>
      <w:lvlText w:val="%7."/>
      <w:lvlJc w:val="left"/>
      <w:pPr>
        <w:ind w:left="5323" w:hanging="360"/>
      </w:pPr>
    </w:lvl>
    <w:lvl w:ilvl="7" w:tplc="240A0019" w:tentative="1">
      <w:start w:val="1"/>
      <w:numFmt w:val="lowerLetter"/>
      <w:lvlText w:val="%8."/>
      <w:lvlJc w:val="left"/>
      <w:pPr>
        <w:ind w:left="6043" w:hanging="360"/>
      </w:pPr>
    </w:lvl>
    <w:lvl w:ilvl="8" w:tplc="240A001B" w:tentative="1">
      <w:start w:val="1"/>
      <w:numFmt w:val="lowerRoman"/>
      <w:lvlText w:val="%9."/>
      <w:lvlJc w:val="right"/>
      <w:pPr>
        <w:ind w:left="6763" w:hanging="180"/>
      </w:pPr>
    </w:lvl>
  </w:abstractNum>
  <w:abstractNum w:abstractNumId="56">
    <w:nsid w:val="726A10E2"/>
    <w:multiLevelType w:val="multilevel"/>
    <w:tmpl w:val="A31CDD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41B72B9"/>
    <w:multiLevelType w:val="multilevel"/>
    <w:tmpl w:val="D77C2B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A945426"/>
    <w:multiLevelType w:val="multilevel"/>
    <w:tmpl w:val="1F848B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7"/>
  </w:num>
  <w:num w:numId="2">
    <w:abstractNumId w:val="32"/>
  </w:num>
  <w:num w:numId="3">
    <w:abstractNumId w:val="36"/>
  </w:num>
  <w:num w:numId="4">
    <w:abstractNumId w:val="24"/>
  </w:num>
  <w:num w:numId="5">
    <w:abstractNumId w:val="30"/>
  </w:num>
  <w:num w:numId="6">
    <w:abstractNumId w:val="42"/>
  </w:num>
  <w:num w:numId="7">
    <w:abstractNumId w:val="61"/>
  </w:num>
  <w:num w:numId="8">
    <w:abstractNumId w:val="6"/>
  </w:num>
  <w:num w:numId="9">
    <w:abstractNumId w:val="8"/>
  </w:num>
  <w:num w:numId="10">
    <w:abstractNumId w:val="38"/>
  </w:num>
  <w:num w:numId="11">
    <w:abstractNumId w:val="45"/>
  </w:num>
  <w:num w:numId="12">
    <w:abstractNumId w:val="48"/>
  </w:num>
  <w:num w:numId="13">
    <w:abstractNumId w:val="43"/>
  </w:num>
  <w:num w:numId="14">
    <w:abstractNumId w:val="57"/>
  </w:num>
  <w:num w:numId="15">
    <w:abstractNumId w:val="40"/>
  </w:num>
  <w:num w:numId="16">
    <w:abstractNumId w:val="12"/>
  </w:num>
  <w:num w:numId="17">
    <w:abstractNumId w:val="7"/>
  </w:num>
  <w:num w:numId="18">
    <w:abstractNumId w:val="17"/>
  </w:num>
  <w:num w:numId="19">
    <w:abstractNumId w:val="18"/>
  </w:num>
  <w:num w:numId="20">
    <w:abstractNumId w:val="58"/>
  </w:num>
  <w:num w:numId="21">
    <w:abstractNumId w:val="28"/>
  </w:num>
  <w:num w:numId="22">
    <w:abstractNumId w:val="63"/>
  </w:num>
  <w:num w:numId="23">
    <w:abstractNumId w:val="23"/>
  </w:num>
  <w:num w:numId="24">
    <w:abstractNumId w:val="5"/>
  </w:num>
  <w:num w:numId="25">
    <w:abstractNumId w:val="2"/>
  </w:num>
  <w:num w:numId="26">
    <w:abstractNumId w:val="22"/>
  </w:num>
  <w:num w:numId="27">
    <w:abstractNumId w:val="52"/>
  </w:num>
  <w:num w:numId="28">
    <w:abstractNumId w:val="19"/>
  </w:num>
  <w:num w:numId="29">
    <w:abstractNumId w:val="65"/>
  </w:num>
  <w:num w:numId="30">
    <w:abstractNumId w:val="64"/>
  </w:num>
  <w:num w:numId="31">
    <w:abstractNumId w:val="29"/>
  </w:num>
  <w:num w:numId="32">
    <w:abstractNumId w:val="50"/>
  </w:num>
  <w:num w:numId="33">
    <w:abstractNumId w:val="13"/>
  </w:num>
  <w:num w:numId="34">
    <w:abstractNumId w:val="14"/>
  </w:num>
  <w:num w:numId="35">
    <w:abstractNumId w:val="53"/>
  </w:num>
  <w:num w:numId="36">
    <w:abstractNumId w:val="54"/>
  </w:num>
  <w:num w:numId="37">
    <w:abstractNumId w:val="66"/>
  </w:num>
  <w:num w:numId="38">
    <w:abstractNumId w:val="16"/>
  </w:num>
  <w:num w:numId="39">
    <w:abstractNumId w:val="25"/>
  </w:num>
  <w:num w:numId="40">
    <w:abstractNumId w:val="27"/>
  </w:num>
  <w:num w:numId="41">
    <w:abstractNumId w:val="31"/>
  </w:num>
  <w:num w:numId="42">
    <w:abstractNumId w:val="47"/>
  </w:num>
  <w:num w:numId="43">
    <w:abstractNumId w:val="33"/>
  </w:num>
  <w:num w:numId="44">
    <w:abstractNumId w:val="20"/>
  </w:num>
  <w:num w:numId="45">
    <w:abstractNumId w:val="26"/>
  </w:num>
  <w:num w:numId="46">
    <w:abstractNumId w:val="60"/>
  </w:num>
  <w:num w:numId="47">
    <w:abstractNumId w:val="11"/>
  </w:num>
  <w:num w:numId="48">
    <w:abstractNumId w:val="0"/>
  </w:num>
  <w:num w:numId="49">
    <w:abstractNumId w:val="4"/>
  </w:num>
  <w:num w:numId="50">
    <w:abstractNumId w:val="1"/>
  </w:num>
  <w:num w:numId="51">
    <w:abstractNumId w:val="9"/>
  </w:num>
  <w:num w:numId="52">
    <w:abstractNumId w:val="39"/>
  </w:num>
  <w:num w:numId="53">
    <w:abstractNumId w:val="44"/>
  </w:num>
  <w:num w:numId="54">
    <w:abstractNumId w:val="3"/>
  </w:num>
  <w:num w:numId="55">
    <w:abstractNumId w:val="59"/>
  </w:num>
  <w:num w:numId="56">
    <w:abstractNumId w:val="15"/>
  </w:num>
  <w:num w:numId="57">
    <w:abstractNumId w:val="34"/>
  </w:num>
  <w:num w:numId="58">
    <w:abstractNumId w:val="62"/>
  </w:num>
  <w:num w:numId="59">
    <w:abstractNumId w:val="56"/>
  </w:num>
  <w:num w:numId="60">
    <w:abstractNumId w:val="46"/>
  </w:num>
  <w:num w:numId="61">
    <w:abstractNumId w:val="51"/>
  </w:num>
  <w:num w:numId="62">
    <w:abstractNumId w:val="49"/>
  </w:num>
  <w:num w:numId="63">
    <w:abstractNumId w:val="10"/>
  </w:num>
  <w:num w:numId="64">
    <w:abstractNumId w:val="35"/>
  </w:num>
  <w:num w:numId="65">
    <w:abstractNumId w:val="41"/>
  </w:num>
  <w:num w:numId="66">
    <w:abstractNumId w:val="21"/>
  </w:num>
  <w:num w:numId="67">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39CF"/>
    <w:rsid w:val="0001436C"/>
    <w:rsid w:val="00014E47"/>
    <w:rsid w:val="000160C5"/>
    <w:rsid w:val="000179F1"/>
    <w:rsid w:val="0002009E"/>
    <w:rsid w:val="00020D63"/>
    <w:rsid w:val="00021438"/>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5687A"/>
    <w:rsid w:val="000603D3"/>
    <w:rsid w:val="00063133"/>
    <w:rsid w:val="000631CC"/>
    <w:rsid w:val="000643FE"/>
    <w:rsid w:val="000674CE"/>
    <w:rsid w:val="00067B15"/>
    <w:rsid w:val="000703D1"/>
    <w:rsid w:val="00076C38"/>
    <w:rsid w:val="0008050D"/>
    <w:rsid w:val="0008199F"/>
    <w:rsid w:val="00082B4E"/>
    <w:rsid w:val="0008366E"/>
    <w:rsid w:val="00083C33"/>
    <w:rsid w:val="00091958"/>
    <w:rsid w:val="00094E9C"/>
    <w:rsid w:val="0009516F"/>
    <w:rsid w:val="0009551E"/>
    <w:rsid w:val="000A085C"/>
    <w:rsid w:val="000A41B6"/>
    <w:rsid w:val="000A7951"/>
    <w:rsid w:val="000A7D44"/>
    <w:rsid w:val="000B5A32"/>
    <w:rsid w:val="000B665B"/>
    <w:rsid w:val="000B6F96"/>
    <w:rsid w:val="000B7BA1"/>
    <w:rsid w:val="000B7FC7"/>
    <w:rsid w:val="000C04C0"/>
    <w:rsid w:val="000C07C9"/>
    <w:rsid w:val="000C1779"/>
    <w:rsid w:val="000C3A1E"/>
    <w:rsid w:val="000C3A6D"/>
    <w:rsid w:val="000C47C5"/>
    <w:rsid w:val="000C4E14"/>
    <w:rsid w:val="000C51CB"/>
    <w:rsid w:val="000C705F"/>
    <w:rsid w:val="000D09D7"/>
    <w:rsid w:val="000D1985"/>
    <w:rsid w:val="000D405D"/>
    <w:rsid w:val="000D4E3C"/>
    <w:rsid w:val="000D5102"/>
    <w:rsid w:val="000E11C2"/>
    <w:rsid w:val="000E2CB1"/>
    <w:rsid w:val="000E31BC"/>
    <w:rsid w:val="000E36E0"/>
    <w:rsid w:val="000E4E9C"/>
    <w:rsid w:val="000E50F4"/>
    <w:rsid w:val="000F0D59"/>
    <w:rsid w:val="000F3552"/>
    <w:rsid w:val="000F76E2"/>
    <w:rsid w:val="00102396"/>
    <w:rsid w:val="001042EE"/>
    <w:rsid w:val="001051B9"/>
    <w:rsid w:val="0010767F"/>
    <w:rsid w:val="00111BA6"/>
    <w:rsid w:val="00112E25"/>
    <w:rsid w:val="00112FD7"/>
    <w:rsid w:val="00113C7F"/>
    <w:rsid w:val="001176BD"/>
    <w:rsid w:val="001219B8"/>
    <w:rsid w:val="0012211D"/>
    <w:rsid w:val="00123E2E"/>
    <w:rsid w:val="00124BE5"/>
    <w:rsid w:val="00124F86"/>
    <w:rsid w:val="0012607A"/>
    <w:rsid w:val="00132CC4"/>
    <w:rsid w:val="0013333C"/>
    <w:rsid w:val="001412D4"/>
    <w:rsid w:val="00143359"/>
    <w:rsid w:val="001455BD"/>
    <w:rsid w:val="00146466"/>
    <w:rsid w:val="0015426D"/>
    <w:rsid w:val="00154381"/>
    <w:rsid w:val="001548D5"/>
    <w:rsid w:val="0015512A"/>
    <w:rsid w:val="0015777F"/>
    <w:rsid w:val="001607B3"/>
    <w:rsid w:val="00160893"/>
    <w:rsid w:val="00163C52"/>
    <w:rsid w:val="001645A1"/>
    <w:rsid w:val="00164804"/>
    <w:rsid w:val="00165895"/>
    <w:rsid w:val="00166B48"/>
    <w:rsid w:val="00167AA0"/>
    <w:rsid w:val="00170E01"/>
    <w:rsid w:val="00171B5A"/>
    <w:rsid w:val="00174792"/>
    <w:rsid w:val="00175521"/>
    <w:rsid w:val="00180D52"/>
    <w:rsid w:val="001859AC"/>
    <w:rsid w:val="00187BDB"/>
    <w:rsid w:val="001A4525"/>
    <w:rsid w:val="001A6382"/>
    <w:rsid w:val="001A650C"/>
    <w:rsid w:val="001B11A0"/>
    <w:rsid w:val="001B24AF"/>
    <w:rsid w:val="001B3073"/>
    <w:rsid w:val="001B70CE"/>
    <w:rsid w:val="001C2D94"/>
    <w:rsid w:val="001C3B3B"/>
    <w:rsid w:val="001C430B"/>
    <w:rsid w:val="001C443E"/>
    <w:rsid w:val="001C4B0B"/>
    <w:rsid w:val="001D1723"/>
    <w:rsid w:val="001D6577"/>
    <w:rsid w:val="001E0A8D"/>
    <w:rsid w:val="001E1FFE"/>
    <w:rsid w:val="001E25D4"/>
    <w:rsid w:val="001E2F40"/>
    <w:rsid w:val="001E3F0C"/>
    <w:rsid w:val="001E64C8"/>
    <w:rsid w:val="001F1128"/>
    <w:rsid w:val="001F1366"/>
    <w:rsid w:val="001F3415"/>
    <w:rsid w:val="00203AA3"/>
    <w:rsid w:val="00203BAF"/>
    <w:rsid w:val="00204548"/>
    <w:rsid w:val="002122B9"/>
    <w:rsid w:val="002161A0"/>
    <w:rsid w:val="00216A70"/>
    <w:rsid w:val="00217602"/>
    <w:rsid w:val="002215A9"/>
    <w:rsid w:val="002239AB"/>
    <w:rsid w:val="00227A4B"/>
    <w:rsid w:val="00232EEB"/>
    <w:rsid w:val="00234EB6"/>
    <w:rsid w:val="00237BCB"/>
    <w:rsid w:val="00241972"/>
    <w:rsid w:val="002419BE"/>
    <w:rsid w:val="002446B7"/>
    <w:rsid w:val="002537D9"/>
    <w:rsid w:val="00256025"/>
    <w:rsid w:val="0025642A"/>
    <w:rsid w:val="0025745F"/>
    <w:rsid w:val="002600E0"/>
    <w:rsid w:val="00265C75"/>
    <w:rsid w:val="00266F05"/>
    <w:rsid w:val="00271232"/>
    <w:rsid w:val="0027373B"/>
    <w:rsid w:val="00273C85"/>
    <w:rsid w:val="00275203"/>
    <w:rsid w:val="00275E68"/>
    <w:rsid w:val="002769F8"/>
    <w:rsid w:val="00277812"/>
    <w:rsid w:val="0028086F"/>
    <w:rsid w:val="00280989"/>
    <w:rsid w:val="0028188C"/>
    <w:rsid w:val="00281E60"/>
    <w:rsid w:val="00283BF7"/>
    <w:rsid w:val="00292419"/>
    <w:rsid w:val="00292A40"/>
    <w:rsid w:val="00294C57"/>
    <w:rsid w:val="002960E0"/>
    <w:rsid w:val="00296DD2"/>
    <w:rsid w:val="002A05CF"/>
    <w:rsid w:val="002A630F"/>
    <w:rsid w:val="002B0A6E"/>
    <w:rsid w:val="002B3FA6"/>
    <w:rsid w:val="002B5DE3"/>
    <w:rsid w:val="002B7BC5"/>
    <w:rsid w:val="002C2736"/>
    <w:rsid w:val="002C313D"/>
    <w:rsid w:val="002C5D2A"/>
    <w:rsid w:val="002C6533"/>
    <w:rsid w:val="002D20EE"/>
    <w:rsid w:val="002D36BF"/>
    <w:rsid w:val="002E19E4"/>
    <w:rsid w:val="002E67F2"/>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2FBD"/>
    <w:rsid w:val="00353A29"/>
    <w:rsid w:val="0035673C"/>
    <w:rsid w:val="003572F2"/>
    <w:rsid w:val="00360AD3"/>
    <w:rsid w:val="003637E5"/>
    <w:rsid w:val="003652A3"/>
    <w:rsid w:val="00370333"/>
    <w:rsid w:val="00371367"/>
    <w:rsid w:val="003729B1"/>
    <w:rsid w:val="00374B50"/>
    <w:rsid w:val="003756F8"/>
    <w:rsid w:val="00376461"/>
    <w:rsid w:val="003775E6"/>
    <w:rsid w:val="003831CF"/>
    <w:rsid w:val="00383741"/>
    <w:rsid w:val="003877D7"/>
    <w:rsid w:val="00390BED"/>
    <w:rsid w:val="00394054"/>
    <w:rsid w:val="00397DD8"/>
    <w:rsid w:val="003A2B84"/>
    <w:rsid w:val="003A3B9C"/>
    <w:rsid w:val="003B2CD7"/>
    <w:rsid w:val="003B470F"/>
    <w:rsid w:val="003B5426"/>
    <w:rsid w:val="003B79F3"/>
    <w:rsid w:val="003B7C49"/>
    <w:rsid w:val="003C4873"/>
    <w:rsid w:val="003C550A"/>
    <w:rsid w:val="003C554A"/>
    <w:rsid w:val="003C6C4F"/>
    <w:rsid w:val="003D3429"/>
    <w:rsid w:val="003D37C7"/>
    <w:rsid w:val="003E6288"/>
    <w:rsid w:val="003F22E4"/>
    <w:rsid w:val="003F7482"/>
    <w:rsid w:val="004029C1"/>
    <w:rsid w:val="00403989"/>
    <w:rsid w:val="004201D0"/>
    <w:rsid w:val="004250DB"/>
    <w:rsid w:val="00426A2D"/>
    <w:rsid w:val="0043169B"/>
    <w:rsid w:val="004325B6"/>
    <w:rsid w:val="00434A1D"/>
    <w:rsid w:val="00435772"/>
    <w:rsid w:val="0043726D"/>
    <w:rsid w:val="00437BC2"/>
    <w:rsid w:val="004502E0"/>
    <w:rsid w:val="004520A7"/>
    <w:rsid w:val="00452283"/>
    <w:rsid w:val="0045610D"/>
    <w:rsid w:val="0045788D"/>
    <w:rsid w:val="00460BB0"/>
    <w:rsid w:val="0046125C"/>
    <w:rsid w:val="004621DF"/>
    <w:rsid w:val="004721F2"/>
    <w:rsid w:val="00472F92"/>
    <w:rsid w:val="004747EE"/>
    <w:rsid w:val="004750CB"/>
    <w:rsid w:val="00480B0E"/>
    <w:rsid w:val="0048299A"/>
    <w:rsid w:val="00484D12"/>
    <w:rsid w:val="00487388"/>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D58C8"/>
    <w:rsid w:val="004E3293"/>
    <w:rsid w:val="004E422C"/>
    <w:rsid w:val="004F05FE"/>
    <w:rsid w:val="004F2831"/>
    <w:rsid w:val="004F4257"/>
    <w:rsid w:val="004F49B6"/>
    <w:rsid w:val="004F54E0"/>
    <w:rsid w:val="004F60B8"/>
    <w:rsid w:val="004F65BA"/>
    <w:rsid w:val="004F73D2"/>
    <w:rsid w:val="0050268F"/>
    <w:rsid w:val="005031EA"/>
    <w:rsid w:val="00503E9D"/>
    <w:rsid w:val="005040CB"/>
    <w:rsid w:val="005047F8"/>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0F61"/>
    <w:rsid w:val="00541008"/>
    <w:rsid w:val="0054647E"/>
    <w:rsid w:val="00546593"/>
    <w:rsid w:val="005517F3"/>
    <w:rsid w:val="005560E6"/>
    <w:rsid w:val="00560475"/>
    <w:rsid w:val="00560D2E"/>
    <w:rsid w:val="00561E5C"/>
    <w:rsid w:val="00562242"/>
    <w:rsid w:val="00564901"/>
    <w:rsid w:val="0056770C"/>
    <w:rsid w:val="00570A85"/>
    <w:rsid w:val="00574373"/>
    <w:rsid w:val="00574941"/>
    <w:rsid w:val="00576838"/>
    <w:rsid w:val="00580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E5A2A"/>
    <w:rsid w:val="005F3B9E"/>
    <w:rsid w:val="005F4435"/>
    <w:rsid w:val="005F5FEC"/>
    <w:rsid w:val="00601F0E"/>
    <w:rsid w:val="00602BDE"/>
    <w:rsid w:val="00604255"/>
    <w:rsid w:val="00607725"/>
    <w:rsid w:val="006158AE"/>
    <w:rsid w:val="00615E27"/>
    <w:rsid w:val="0061758E"/>
    <w:rsid w:val="00620F0B"/>
    <w:rsid w:val="0062133F"/>
    <w:rsid w:val="006228CF"/>
    <w:rsid w:val="00622AB2"/>
    <w:rsid w:val="00625637"/>
    <w:rsid w:val="006343BF"/>
    <w:rsid w:val="0063630E"/>
    <w:rsid w:val="00637688"/>
    <w:rsid w:val="006417DE"/>
    <w:rsid w:val="00642EF5"/>
    <w:rsid w:val="00643546"/>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86011"/>
    <w:rsid w:val="00690A5E"/>
    <w:rsid w:val="006915E1"/>
    <w:rsid w:val="00691CB4"/>
    <w:rsid w:val="0069258E"/>
    <w:rsid w:val="0069360F"/>
    <w:rsid w:val="00693660"/>
    <w:rsid w:val="0069372B"/>
    <w:rsid w:val="00696073"/>
    <w:rsid w:val="00697856"/>
    <w:rsid w:val="006A64B2"/>
    <w:rsid w:val="006B58CF"/>
    <w:rsid w:val="006C18E3"/>
    <w:rsid w:val="006C244C"/>
    <w:rsid w:val="006C3A46"/>
    <w:rsid w:val="006C3E27"/>
    <w:rsid w:val="006C51BD"/>
    <w:rsid w:val="006D07D4"/>
    <w:rsid w:val="006D0B53"/>
    <w:rsid w:val="006D23D9"/>
    <w:rsid w:val="006D7439"/>
    <w:rsid w:val="006E0408"/>
    <w:rsid w:val="006E2BB9"/>
    <w:rsid w:val="006F054D"/>
    <w:rsid w:val="006F1E48"/>
    <w:rsid w:val="006F287E"/>
    <w:rsid w:val="006F2E70"/>
    <w:rsid w:val="006F2F0E"/>
    <w:rsid w:val="006F309E"/>
    <w:rsid w:val="006F6235"/>
    <w:rsid w:val="00704C38"/>
    <w:rsid w:val="007074F2"/>
    <w:rsid w:val="0071209F"/>
    <w:rsid w:val="00712160"/>
    <w:rsid w:val="007212C5"/>
    <w:rsid w:val="00723C8B"/>
    <w:rsid w:val="00730794"/>
    <w:rsid w:val="00732537"/>
    <w:rsid w:val="00736FFD"/>
    <w:rsid w:val="00737BD0"/>
    <w:rsid w:val="00742023"/>
    <w:rsid w:val="00745528"/>
    <w:rsid w:val="00747ABC"/>
    <w:rsid w:val="0075240B"/>
    <w:rsid w:val="007538D4"/>
    <w:rsid w:val="00756A1B"/>
    <w:rsid w:val="00756F01"/>
    <w:rsid w:val="007626FA"/>
    <w:rsid w:val="007659D5"/>
    <w:rsid w:val="00766738"/>
    <w:rsid w:val="00766BD4"/>
    <w:rsid w:val="00770E18"/>
    <w:rsid w:val="0077125D"/>
    <w:rsid w:val="00772333"/>
    <w:rsid w:val="00773A5D"/>
    <w:rsid w:val="00773E0C"/>
    <w:rsid w:val="007820CB"/>
    <w:rsid w:val="00783394"/>
    <w:rsid w:val="007870F9"/>
    <w:rsid w:val="007876A7"/>
    <w:rsid w:val="00791092"/>
    <w:rsid w:val="00795D6F"/>
    <w:rsid w:val="007A13D1"/>
    <w:rsid w:val="007A44E4"/>
    <w:rsid w:val="007A4CB2"/>
    <w:rsid w:val="007A618A"/>
    <w:rsid w:val="007A6348"/>
    <w:rsid w:val="007A640D"/>
    <w:rsid w:val="007A7532"/>
    <w:rsid w:val="007B4F50"/>
    <w:rsid w:val="007B50FC"/>
    <w:rsid w:val="007B65AD"/>
    <w:rsid w:val="007C0986"/>
    <w:rsid w:val="007C2A3E"/>
    <w:rsid w:val="007C2DDA"/>
    <w:rsid w:val="007C5724"/>
    <w:rsid w:val="007C74A7"/>
    <w:rsid w:val="007D21A4"/>
    <w:rsid w:val="007D2B2D"/>
    <w:rsid w:val="007D3408"/>
    <w:rsid w:val="007D7D81"/>
    <w:rsid w:val="007E0097"/>
    <w:rsid w:val="007E0D9F"/>
    <w:rsid w:val="007E2712"/>
    <w:rsid w:val="007E32FD"/>
    <w:rsid w:val="007E392A"/>
    <w:rsid w:val="007E3C66"/>
    <w:rsid w:val="007E552B"/>
    <w:rsid w:val="007F0C6E"/>
    <w:rsid w:val="007F1D24"/>
    <w:rsid w:val="007F6D4F"/>
    <w:rsid w:val="00807DB9"/>
    <w:rsid w:val="00807E3A"/>
    <w:rsid w:val="00810675"/>
    <w:rsid w:val="00812FA2"/>
    <w:rsid w:val="00813DE7"/>
    <w:rsid w:val="00815277"/>
    <w:rsid w:val="00822CAA"/>
    <w:rsid w:val="00823EC1"/>
    <w:rsid w:val="00826B4D"/>
    <w:rsid w:val="00830248"/>
    <w:rsid w:val="00830D20"/>
    <w:rsid w:val="00831772"/>
    <w:rsid w:val="00831794"/>
    <w:rsid w:val="00833078"/>
    <w:rsid w:val="00834B6E"/>
    <w:rsid w:val="008356B7"/>
    <w:rsid w:val="008445C9"/>
    <w:rsid w:val="008468BF"/>
    <w:rsid w:val="00851377"/>
    <w:rsid w:val="00852190"/>
    <w:rsid w:val="0085285E"/>
    <w:rsid w:val="00854437"/>
    <w:rsid w:val="00855E68"/>
    <w:rsid w:val="00856B0E"/>
    <w:rsid w:val="0085794F"/>
    <w:rsid w:val="008622F0"/>
    <w:rsid w:val="0086374C"/>
    <w:rsid w:val="00863BBB"/>
    <w:rsid w:val="00863D4B"/>
    <w:rsid w:val="00864953"/>
    <w:rsid w:val="0086535A"/>
    <w:rsid w:val="00865F9B"/>
    <w:rsid w:val="0087039C"/>
    <w:rsid w:val="00871444"/>
    <w:rsid w:val="00871AFB"/>
    <w:rsid w:val="0087299B"/>
    <w:rsid w:val="00872F42"/>
    <w:rsid w:val="008765C4"/>
    <w:rsid w:val="00881367"/>
    <w:rsid w:val="008857A6"/>
    <w:rsid w:val="0088646C"/>
    <w:rsid w:val="00890375"/>
    <w:rsid w:val="00891E7B"/>
    <w:rsid w:val="00893CA3"/>
    <w:rsid w:val="00896F08"/>
    <w:rsid w:val="00897AFE"/>
    <w:rsid w:val="008A2709"/>
    <w:rsid w:val="008A58CD"/>
    <w:rsid w:val="008B4C69"/>
    <w:rsid w:val="008C3F1F"/>
    <w:rsid w:val="008C5DB8"/>
    <w:rsid w:val="008C6A67"/>
    <w:rsid w:val="008D2ED6"/>
    <w:rsid w:val="008D3094"/>
    <w:rsid w:val="008D5E3D"/>
    <w:rsid w:val="008D6682"/>
    <w:rsid w:val="008E061B"/>
    <w:rsid w:val="008E1115"/>
    <w:rsid w:val="008E2A14"/>
    <w:rsid w:val="008F02EB"/>
    <w:rsid w:val="008F25DD"/>
    <w:rsid w:val="009001F3"/>
    <w:rsid w:val="00901978"/>
    <w:rsid w:val="009058C6"/>
    <w:rsid w:val="00910DAC"/>
    <w:rsid w:val="009111C5"/>
    <w:rsid w:val="00912DD7"/>
    <w:rsid w:val="009151D1"/>
    <w:rsid w:val="00915C0D"/>
    <w:rsid w:val="00922EAA"/>
    <w:rsid w:val="00923B80"/>
    <w:rsid w:val="00924839"/>
    <w:rsid w:val="00927330"/>
    <w:rsid w:val="0092744F"/>
    <w:rsid w:val="00927AE4"/>
    <w:rsid w:val="009304B1"/>
    <w:rsid w:val="00946A7C"/>
    <w:rsid w:val="009501D7"/>
    <w:rsid w:val="00953359"/>
    <w:rsid w:val="00953A9A"/>
    <w:rsid w:val="009544D9"/>
    <w:rsid w:val="0095483E"/>
    <w:rsid w:val="0095551B"/>
    <w:rsid w:val="009637DF"/>
    <w:rsid w:val="00963E30"/>
    <w:rsid w:val="00971BA8"/>
    <w:rsid w:val="00971E04"/>
    <w:rsid w:val="00973EBB"/>
    <w:rsid w:val="00974898"/>
    <w:rsid w:val="00975A60"/>
    <w:rsid w:val="009824EF"/>
    <w:rsid w:val="00984F42"/>
    <w:rsid w:val="00992371"/>
    <w:rsid w:val="009923F8"/>
    <w:rsid w:val="00993246"/>
    <w:rsid w:val="009932F1"/>
    <w:rsid w:val="00993BB4"/>
    <w:rsid w:val="009959F1"/>
    <w:rsid w:val="0099760B"/>
    <w:rsid w:val="009A07C8"/>
    <w:rsid w:val="009A5162"/>
    <w:rsid w:val="009B0EB5"/>
    <w:rsid w:val="009B645A"/>
    <w:rsid w:val="009C50DA"/>
    <w:rsid w:val="009D381B"/>
    <w:rsid w:val="009D5F41"/>
    <w:rsid w:val="009E0346"/>
    <w:rsid w:val="009E2314"/>
    <w:rsid w:val="009E41A8"/>
    <w:rsid w:val="009E450F"/>
    <w:rsid w:val="009E55C7"/>
    <w:rsid w:val="009F0E10"/>
    <w:rsid w:val="009F2589"/>
    <w:rsid w:val="009F5D0E"/>
    <w:rsid w:val="00A00489"/>
    <w:rsid w:val="00A01305"/>
    <w:rsid w:val="00A01C1A"/>
    <w:rsid w:val="00A0558D"/>
    <w:rsid w:val="00A113B3"/>
    <w:rsid w:val="00A11E04"/>
    <w:rsid w:val="00A122AA"/>
    <w:rsid w:val="00A13C08"/>
    <w:rsid w:val="00A14CAC"/>
    <w:rsid w:val="00A156E8"/>
    <w:rsid w:val="00A177FA"/>
    <w:rsid w:val="00A20652"/>
    <w:rsid w:val="00A2189D"/>
    <w:rsid w:val="00A22730"/>
    <w:rsid w:val="00A23428"/>
    <w:rsid w:val="00A333A2"/>
    <w:rsid w:val="00A41B7B"/>
    <w:rsid w:val="00A46A7B"/>
    <w:rsid w:val="00A47B51"/>
    <w:rsid w:val="00A50581"/>
    <w:rsid w:val="00A50CB0"/>
    <w:rsid w:val="00A520E5"/>
    <w:rsid w:val="00A52DC6"/>
    <w:rsid w:val="00A54F39"/>
    <w:rsid w:val="00A5515D"/>
    <w:rsid w:val="00A56792"/>
    <w:rsid w:val="00A56F28"/>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9471A"/>
    <w:rsid w:val="00A971B0"/>
    <w:rsid w:val="00AA107A"/>
    <w:rsid w:val="00AA3DC5"/>
    <w:rsid w:val="00AB0713"/>
    <w:rsid w:val="00AB5827"/>
    <w:rsid w:val="00AB5D2C"/>
    <w:rsid w:val="00AC2BEA"/>
    <w:rsid w:val="00AC2CFC"/>
    <w:rsid w:val="00AC4826"/>
    <w:rsid w:val="00AC521F"/>
    <w:rsid w:val="00AC585F"/>
    <w:rsid w:val="00AC6549"/>
    <w:rsid w:val="00AD02C7"/>
    <w:rsid w:val="00AD6144"/>
    <w:rsid w:val="00AD662E"/>
    <w:rsid w:val="00AE120F"/>
    <w:rsid w:val="00AE1255"/>
    <w:rsid w:val="00AE1660"/>
    <w:rsid w:val="00AE26AF"/>
    <w:rsid w:val="00AE3BCF"/>
    <w:rsid w:val="00AE6D7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689"/>
    <w:rsid w:val="00B41FCE"/>
    <w:rsid w:val="00B4471F"/>
    <w:rsid w:val="00B5457F"/>
    <w:rsid w:val="00B54B57"/>
    <w:rsid w:val="00B569DB"/>
    <w:rsid w:val="00B63D2A"/>
    <w:rsid w:val="00B64D54"/>
    <w:rsid w:val="00B67E3C"/>
    <w:rsid w:val="00B733F8"/>
    <w:rsid w:val="00B75203"/>
    <w:rsid w:val="00B82098"/>
    <w:rsid w:val="00B82C19"/>
    <w:rsid w:val="00B830A1"/>
    <w:rsid w:val="00B84B8A"/>
    <w:rsid w:val="00B86149"/>
    <w:rsid w:val="00B90EBE"/>
    <w:rsid w:val="00B928FF"/>
    <w:rsid w:val="00B93FB1"/>
    <w:rsid w:val="00B95C60"/>
    <w:rsid w:val="00B965E5"/>
    <w:rsid w:val="00B9795C"/>
    <w:rsid w:val="00BA0A1A"/>
    <w:rsid w:val="00BA2727"/>
    <w:rsid w:val="00BA2BBE"/>
    <w:rsid w:val="00BA4E0B"/>
    <w:rsid w:val="00BB19AC"/>
    <w:rsid w:val="00BB3A4B"/>
    <w:rsid w:val="00BB3C7B"/>
    <w:rsid w:val="00BB5149"/>
    <w:rsid w:val="00BC0673"/>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2A8D"/>
    <w:rsid w:val="00C13EA7"/>
    <w:rsid w:val="00C1423F"/>
    <w:rsid w:val="00C1685A"/>
    <w:rsid w:val="00C207EA"/>
    <w:rsid w:val="00C23433"/>
    <w:rsid w:val="00C2393A"/>
    <w:rsid w:val="00C23C06"/>
    <w:rsid w:val="00C23F57"/>
    <w:rsid w:val="00C24FC2"/>
    <w:rsid w:val="00C264CE"/>
    <w:rsid w:val="00C30F89"/>
    <w:rsid w:val="00C323E1"/>
    <w:rsid w:val="00C34BD1"/>
    <w:rsid w:val="00C34F2A"/>
    <w:rsid w:val="00C3713F"/>
    <w:rsid w:val="00C414F2"/>
    <w:rsid w:val="00C430EA"/>
    <w:rsid w:val="00C602B2"/>
    <w:rsid w:val="00C6351D"/>
    <w:rsid w:val="00C64899"/>
    <w:rsid w:val="00C66652"/>
    <w:rsid w:val="00C66E6F"/>
    <w:rsid w:val="00C7069C"/>
    <w:rsid w:val="00C711D9"/>
    <w:rsid w:val="00C73338"/>
    <w:rsid w:val="00C73EE9"/>
    <w:rsid w:val="00C75C7B"/>
    <w:rsid w:val="00C760B8"/>
    <w:rsid w:val="00C8162F"/>
    <w:rsid w:val="00C8272B"/>
    <w:rsid w:val="00C84277"/>
    <w:rsid w:val="00C84633"/>
    <w:rsid w:val="00C92D50"/>
    <w:rsid w:val="00C950D4"/>
    <w:rsid w:val="00C96031"/>
    <w:rsid w:val="00C960C4"/>
    <w:rsid w:val="00CA1934"/>
    <w:rsid w:val="00CA4DEE"/>
    <w:rsid w:val="00CB4DC9"/>
    <w:rsid w:val="00CB66E3"/>
    <w:rsid w:val="00CC21CA"/>
    <w:rsid w:val="00CC3C18"/>
    <w:rsid w:val="00CC5F54"/>
    <w:rsid w:val="00CC7223"/>
    <w:rsid w:val="00CD0342"/>
    <w:rsid w:val="00CD421B"/>
    <w:rsid w:val="00CD6675"/>
    <w:rsid w:val="00CD6D65"/>
    <w:rsid w:val="00CE1AF3"/>
    <w:rsid w:val="00CE41FA"/>
    <w:rsid w:val="00CE4225"/>
    <w:rsid w:val="00CF1F49"/>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2FC"/>
    <w:rsid w:val="00D3392D"/>
    <w:rsid w:val="00D35426"/>
    <w:rsid w:val="00D45EBF"/>
    <w:rsid w:val="00D4686B"/>
    <w:rsid w:val="00D54F91"/>
    <w:rsid w:val="00D56956"/>
    <w:rsid w:val="00D612E9"/>
    <w:rsid w:val="00D63B65"/>
    <w:rsid w:val="00D63FF4"/>
    <w:rsid w:val="00D66B0C"/>
    <w:rsid w:val="00D730C0"/>
    <w:rsid w:val="00D734D7"/>
    <w:rsid w:val="00D74174"/>
    <w:rsid w:val="00D741FA"/>
    <w:rsid w:val="00D74AD2"/>
    <w:rsid w:val="00D756CE"/>
    <w:rsid w:val="00D77629"/>
    <w:rsid w:val="00D80A76"/>
    <w:rsid w:val="00D810CB"/>
    <w:rsid w:val="00D81BB3"/>
    <w:rsid w:val="00D8350D"/>
    <w:rsid w:val="00D85EB3"/>
    <w:rsid w:val="00D92616"/>
    <w:rsid w:val="00D93774"/>
    <w:rsid w:val="00DA2698"/>
    <w:rsid w:val="00DA3876"/>
    <w:rsid w:val="00DA4785"/>
    <w:rsid w:val="00DA6AD3"/>
    <w:rsid w:val="00DB0816"/>
    <w:rsid w:val="00DB34C5"/>
    <w:rsid w:val="00DB4642"/>
    <w:rsid w:val="00DB6710"/>
    <w:rsid w:val="00DB693E"/>
    <w:rsid w:val="00DC2ED4"/>
    <w:rsid w:val="00DC33D8"/>
    <w:rsid w:val="00DC6A81"/>
    <w:rsid w:val="00DC6DE7"/>
    <w:rsid w:val="00DC7559"/>
    <w:rsid w:val="00DC7DDC"/>
    <w:rsid w:val="00DD1ABA"/>
    <w:rsid w:val="00DD21EF"/>
    <w:rsid w:val="00DD654D"/>
    <w:rsid w:val="00DD7098"/>
    <w:rsid w:val="00DD7587"/>
    <w:rsid w:val="00DE0F69"/>
    <w:rsid w:val="00DE4AB3"/>
    <w:rsid w:val="00DE73CD"/>
    <w:rsid w:val="00DF03BC"/>
    <w:rsid w:val="00DF170E"/>
    <w:rsid w:val="00E03E9B"/>
    <w:rsid w:val="00E05FB7"/>
    <w:rsid w:val="00E06B9D"/>
    <w:rsid w:val="00E079E5"/>
    <w:rsid w:val="00E12387"/>
    <w:rsid w:val="00E15245"/>
    <w:rsid w:val="00E17FF4"/>
    <w:rsid w:val="00E24FFD"/>
    <w:rsid w:val="00E325C3"/>
    <w:rsid w:val="00E34C58"/>
    <w:rsid w:val="00E359F6"/>
    <w:rsid w:val="00E4229D"/>
    <w:rsid w:val="00E4558F"/>
    <w:rsid w:val="00E470B0"/>
    <w:rsid w:val="00E504F5"/>
    <w:rsid w:val="00E5100E"/>
    <w:rsid w:val="00E5217E"/>
    <w:rsid w:val="00E529CC"/>
    <w:rsid w:val="00E53447"/>
    <w:rsid w:val="00E5347F"/>
    <w:rsid w:val="00E54864"/>
    <w:rsid w:val="00E62442"/>
    <w:rsid w:val="00E67D3B"/>
    <w:rsid w:val="00E73CCA"/>
    <w:rsid w:val="00E85BF5"/>
    <w:rsid w:val="00E90030"/>
    <w:rsid w:val="00EA07E6"/>
    <w:rsid w:val="00EA320A"/>
    <w:rsid w:val="00EA595E"/>
    <w:rsid w:val="00EB2682"/>
    <w:rsid w:val="00EB2AA5"/>
    <w:rsid w:val="00EB3EBD"/>
    <w:rsid w:val="00EC2B0D"/>
    <w:rsid w:val="00EC34C5"/>
    <w:rsid w:val="00EC38D6"/>
    <w:rsid w:val="00EC3F04"/>
    <w:rsid w:val="00EC4FC9"/>
    <w:rsid w:val="00EC58E5"/>
    <w:rsid w:val="00EC58FE"/>
    <w:rsid w:val="00EC63B6"/>
    <w:rsid w:val="00EC7055"/>
    <w:rsid w:val="00ED197B"/>
    <w:rsid w:val="00ED247F"/>
    <w:rsid w:val="00ED27AC"/>
    <w:rsid w:val="00ED50C3"/>
    <w:rsid w:val="00ED5628"/>
    <w:rsid w:val="00ED6CE5"/>
    <w:rsid w:val="00EE2BF0"/>
    <w:rsid w:val="00EE3725"/>
    <w:rsid w:val="00EE56A4"/>
    <w:rsid w:val="00EE62BF"/>
    <w:rsid w:val="00EE6A61"/>
    <w:rsid w:val="00EE74ED"/>
    <w:rsid w:val="00EE78B1"/>
    <w:rsid w:val="00EF0082"/>
    <w:rsid w:val="00EF1ECB"/>
    <w:rsid w:val="00EF39A3"/>
    <w:rsid w:val="00EF6CBD"/>
    <w:rsid w:val="00EF7F49"/>
    <w:rsid w:val="00F077D0"/>
    <w:rsid w:val="00F14D70"/>
    <w:rsid w:val="00F169BF"/>
    <w:rsid w:val="00F23759"/>
    <w:rsid w:val="00F256CE"/>
    <w:rsid w:val="00F26F93"/>
    <w:rsid w:val="00F3324F"/>
    <w:rsid w:val="00F3751E"/>
    <w:rsid w:val="00F41D78"/>
    <w:rsid w:val="00F44E71"/>
    <w:rsid w:val="00F45AD6"/>
    <w:rsid w:val="00F464B3"/>
    <w:rsid w:val="00F52F14"/>
    <w:rsid w:val="00F55443"/>
    <w:rsid w:val="00F6249F"/>
    <w:rsid w:val="00F641B8"/>
    <w:rsid w:val="00F650A3"/>
    <w:rsid w:val="00F65DFD"/>
    <w:rsid w:val="00F73C04"/>
    <w:rsid w:val="00F74A1B"/>
    <w:rsid w:val="00F74F1E"/>
    <w:rsid w:val="00F762D8"/>
    <w:rsid w:val="00F77611"/>
    <w:rsid w:val="00F822A5"/>
    <w:rsid w:val="00F90EA1"/>
    <w:rsid w:val="00F93CD2"/>
    <w:rsid w:val="00F93E28"/>
    <w:rsid w:val="00FA3E4A"/>
    <w:rsid w:val="00FA64B3"/>
    <w:rsid w:val="00FB1A5C"/>
    <w:rsid w:val="00FB65AE"/>
    <w:rsid w:val="00FB74BA"/>
    <w:rsid w:val="00FC40AA"/>
    <w:rsid w:val="00FC74F7"/>
    <w:rsid w:val="00FD5700"/>
    <w:rsid w:val="00FD64FD"/>
    <w:rsid w:val="00FD6A7E"/>
    <w:rsid w:val="00FD789B"/>
    <w:rsid w:val="00FE3EEB"/>
    <w:rsid w:val="00FE572A"/>
    <w:rsid w:val="00FE581A"/>
    <w:rsid w:val="00FF0DB6"/>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7272">
      <w:bodyDiv w:val="1"/>
      <w:marLeft w:val="0"/>
      <w:marRight w:val="0"/>
      <w:marTop w:val="0"/>
      <w:marBottom w:val="0"/>
      <w:divBdr>
        <w:top w:val="none" w:sz="0" w:space="0" w:color="auto"/>
        <w:left w:val="none" w:sz="0" w:space="0" w:color="auto"/>
        <w:bottom w:val="none" w:sz="0" w:space="0" w:color="auto"/>
        <w:right w:val="none" w:sz="0" w:space="0" w:color="auto"/>
      </w:divBdr>
      <w:divsChild>
        <w:div w:id="1171599850">
          <w:marLeft w:val="0"/>
          <w:marRight w:val="0"/>
          <w:marTop w:val="0"/>
          <w:marBottom w:val="0"/>
          <w:divBdr>
            <w:top w:val="none" w:sz="0" w:space="0" w:color="auto"/>
            <w:left w:val="none" w:sz="0" w:space="0" w:color="auto"/>
            <w:bottom w:val="none" w:sz="0" w:space="0" w:color="auto"/>
            <w:right w:val="none" w:sz="0" w:space="0" w:color="auto"/>
          </w:divBdr>
          <w:divsChild>
            <w:div w:id="10838662">
              <w:marLeft w:val="0"/>
              <w:marRight w:val="0"/>
              <w:marTop w:val="0"/>
              <w:marBottom w:val="0"/>
              <w:divBdr>
                <w:top w:val="none" w:sz="0" w:space="0" w:color="auto"/>
                <w:left w:val="none" w:sz="0" w:space="0" w:color="auto"/>
                <w:bottom w:val="none" w:sz="0" w:space="0" w:color="auto"/>
                <w:right w:val="none" w:sz="0" w:space="0" w:color="auto"/>
              </w:divBdr>
              <w:divsChild>
                <w:div w:id="1313825252">
                  <w:marLeft w:val="0"/>
                  <w:marRight w:val="0"/>
                  <w:marTop w:val="0"/>
                  <w:marBottom w:val="0"/>
                  <w:divBdr>
                    <w:top w:val="none" w:sz="0" w:space="0" w:color="auto"/>
                    <w:left w:val="none" w:sz="0" w:space="0" w:color="auto"/>
                    <w:bottom w:val="none" w:sz="0" w:space="0" w:color="auto"/>
                    <w:right w:val="none" w:sz="0" w:space="0" w:color="auto"/>
                  </w:divBdr>
                  <w:divsChild>
                    <w:div w:id="550532667">
                      <w:marLeft w:val="0"/>
                      <w:marRight w:val="0"/>
                      <w:marTop w:val="0"/>
                      <w:marBottom w:val="0"/>
                      <w:divBdr>
                        <w:top w:val="none" w:sz="0" w:space="0" w:color="auto"/>
                        <w:left w:val="none" w:sz="0" w:space="0" w:color="auto"/>
                        <w:bottom w:val="none" w:sz="0" w:space="0" w:color="auto"/>
                        <w:right w:val="none" w:sz="0" w:space="0" w:color="auto"/>
                      </w:divBdr>
                      <w:divsChild>
                        <w:div w:id="11933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10426">
          <w:marLeft w:val="0"/>
          <w:marRight w:val="0"/>
          <w:marTop w:val="0"/>
          <w:marBottom w:val="0"/>
          <w:divBdr>
            <w:top w:val="none" w:sz="0" w:space="0" w:color="auto"/>
            <w:left w:val="none" w:sz="0" w:space="0" w:color="auto"/>
            <w:bottom w:val="none" w:sz="0" w:space="0" w:color="auto"/>
            <w:right w:val="none" w:sz="0" w:space="0" w:color="auto"/>
          </w:divBdr>
          <w:divsChild>
            <w:div w:id="17894757">
              <w:marLeft w:val="0"/>
              <w:marRight w:val="0"/>
              <w:marTop w:val="0"/>
              <w:marBottom w:val="0"/>
              <w:divBdr>
                <w:top w:val="none" w:sz="0" w:space="0" w:color="auto"/>
                <w:left w:val="none" w:sz="0" w:space="0" w:color="auto"/>
                <w:bottom w:val="none" w:sz="0" w:space="0" w:color="auto"/>
                <w:right w:val="none" w:sz="0" w:space="0" w:color="auto"/>
              </w:divBdr>
              <w:divsChild>
                <w:div w:id="1001858040">
                  <w:marLeft w:val="0"/>
                  <w:marRight w:val="0"/>
                  <w:marTop w:val="0"/>
                  <w:marBottom w:val="0"/>
                  <w:divBdr>
                    <w:top w:val="none" w:sz="0" w:space="0" w:color="auto"/>
                    <w:left w:val="none" w:sz="0" w:space="0" w:color="auto"/>
                    <w:bottom w:val="none" w:sz="0" w:space="0" w:color="auto"/>
                    <w:right w:val="none" w:sz="0" w:space="0" w:color="auto"/>
                  </w:divBdr>
                  <w:divsChild>
                    <w:div w:id="950209054">
                      <w:marLeft w:val="0"/>
                      <w:marRight w:val="0"/>
                      <w:marTop w:val="0"/>
                      <w:marBottom w:val="0"/>
                      <w:divBdr>
                        <w:top w:val="none" w:sz="0" w:space="0" w:color="auto"/>
                        <w:left w:val="none" w:sz="0" w:space="0" w:color="auto"/>
                        <w:bottom w:val="none" w:sz="0" w:space="0" w:color="auto"/>
                        <w:right w:val="none" w:sz="0" w:space="0" w:color="auto"/>
                      </w:divBdr>
                      <w:divsChild>
                        <w:div w:id="1309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0530-76F7-488E-B505-4608946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42</Pages>
  <Words>15985</Words>
  <Characters>87920</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18</cp:revision>
  <cp:lastPrinted>2023-04-12T21:54:00Z</cp:lastPrinted>
  <dcterms:created xsi:type="dcterms:W3CDTF">2023-05-30T21:26:00Z</dcterms:created>
  <dcterms:modified xsi:type="dcterms:W3CDTF">2023-06-02T15:31:00Z</dcterms:modified>
</cp:coreProperties>
</file>